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7F0CC">
      <w:pPr>
        <w:keepNext w:val="0"/>
        <w:keepLines w:val="0"/>
        <w:pageBreakBefore w:val="0"/>
        <w:widowControl w:val="0"/>
        <w:kinsoku/>
        <w:wordWrap/>
        <w:overflowPunct/>
        <w:topLinePunct w:val="0"/>
        <w:autoSpaceDE/>
        <w:autoSpaceDN/>
        <w:bidi w:val="0"/>
        <w:adjustRightInd/>
        <w:snapToGrid/>
        <w:spacing w:beforeAutospacing="0" w:afterAutospacing="0" w:line="15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bCs/>
          <w:color w:val="FF0000"/>
          <w:spacing w:val="-14"/>
          <w:w w:val="90"/>
          <w:sz w:val="122"/>
          <w:szCs w:val="122"/>
        </w:rPr>
      </w:pPr>
      <w:bookmarkStart w:id="1" w:name="_GoBack"/>
      <w:bookmarkEnd w:id="1"/>
    </w:p>
    <w:p w14:paraId="29CFFEC2">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both"/>
        <w:textAlignment w:val="auto"/>
        <w:outlineLvl w:val="9"/>
        <w:rPr>
          <w:rFonts w:hint="eastAsia" w:ascii="仿宋_GB2312" w:eastAsia="仿宋_GB2312"/>
          <w:color w:val="000000"/>
          <w:spacing w:val="-2"/>
          <w:w w:val="90"/>
          <w:sz w:val="32"/>
          <w:szCs w:val="32"/>
        </w:rPr>
      </w:pPr>
    </w:p>
    <w:p w14:paraId="1BB2943D">
      <w:pPr>
        <w:keepNext w:val="0"/>
        <w:keepLines w:val="0"/>
        <w:pageBreakBefore w:val="0"/>
        <w:widowControl w:val="0"/>
        <w:tabs>
          <w:tab w:val="left" w:pos="8610"/>
        </w:tabs>
        <w:kinsoku/>
        <w:wordWrap/>
        <w:overflowPunct/>
        <w:topLinePunct w:val="0"/>
        <w:autoSpaceDE/>
        <w:autoSpaceDN/>
        <w:bidi w:val="0"/>
        <w:adjustRightInd/>
        <w:spacing w:before="0" w:beforeLines="0" w:after="0" w:afterLines="0" w:line="560" w:lineRule="exact"/>
        <w:ind w:left="0" w:leftChars="0" w:right="0" w:rightChars="0"/>
        <w:jc w:val="center"/>
        <w:textAlignment w:val="auto"/>
        <w:outlineLvl w:val="9"/>
        <w:rPr>
          <w:rFonts w:hint="eastAsia" w:ascii="楷体_GB2312" w:hAnsi="楷体_GB2312" w:eastAsia="楷体_GB2312" w:cs="楷体_GB2312"/>
          <w:sz w:val="32"/>
          <w:szCs w:val="32"/>
        </w:rPr>
      </w:pPr>
      <w:r>
        <w:rPr>
          <w:rFonts w:hint="default" w:ascii="Times New Roman" w:hAnsi="Times New Roman" w:eastAsia="方正仿宋_GBK" w:cs="Times New Roman"/>
          <w:sz w:val="32"/>
          <w:szCs w:val="32"/>
        </w:rPr>
        <w:t>玉财</w:t>
      </w:r>
      <w:r>
        <w:rPr>
          <w:rFonts w:hint="eastAsia" w:ascii="方正仿宋_GBK" w:hAnsi="方正仿宋_GBK" w:eastAsia="方正仿宋_GBK" w:cs="方正仿宋_GBK"/>
          <w:sz w:val="32"/>
          <w:szCs w:val="32"/>
          <w:lang w:val="en-US" w:eastAsia="zh-CN"/>
        </w:rPr>
        <w:t>农</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64</w:t>
      </w:r>
      <w:r>
        <w:rPr>
          <w:rFonts w:hint="default" w:ascii="Times New Roman" w:hAnsi="Times New Roman" w:eastAsia="方正仿宋_GBK" w:cs="Times New Roman"/>
          <w:sz w:val="32"/>
          <w:szCs w:val="32"/>
        </w:rPr>
        <w:t>号</w:t>
      </w:r>
    </w:p>
    <w:p w14:paraId="0E81D55A">
      <w:pPr>
        <w:keepNext w:val="0"/>
        <w:keepLines w:val="0"/>
        <w:pageBreakBefore w:val="0"/>
        <w:widowControl w:val="0"/>
        <w:kinsoku/>
        <w:wordWrap/>
        <w:overflowPunct/>
        <w:topLinePunct w:val="0"/>
        <w:autoSpaceDE/>
        <w:autoSpaceDN/>
        <w:bidi w:val="0"/>
        <w:adjustRightInd/>
        <w:spacing w:before="0" w:beforeLines="0" w:after="0" w:afterLines="0" w:line="590" w:lineRule="exact"/>
        <w:ind w:left="0" w:leftChars="0" w:right="0" w:rightChars="0"/>
        <w:textAlignment w:val="auto"/>
        <w:outlineLvl w:val="9"/>
        <w:rPr>
          <w:rFonts w:hint="eastAsia" w:ascii="仿宋_GB2312" w:eastAsia="仿宋_GB2312"/>
          <w:color w:val="000000"/>
          <w:spacing w:val="-2"/>
          <w:w w:val="90"/>
          <w:sz w:val="32"/>
          <w:szCs w:val="32"/>
        </w:rPr>
      </w:pPr>
    </w:p>
    <w:p w14:paraId="3BA763AE">
      <w:pPr>
        <w:keepNext w:val="0"/>
        <w:keepLines w:val="0"/>
        <w:pageBreakBefore w:val="0"/>
        <w:widowControl w:val="0"/>
        <w:pBdr>
          <w:top w:val="none" w:color="auto" w:sz="0" w:space="0"/>
          <w:bottom w:val="none" w:color="auto" w:sz="0" w:space="0"/>
        </w:pBdr>
        <w:kinsoku/>
        <w:wordWrap/>
        <w:overflowPunct w:val="0"/>
        <w:topLinePunct w:val="0"/>
        <w:autoSpaceDE/>
        <w:autoSpaceDN/>
        <w:bidi w:val="0"/>
        <w:snapToGrid w:val="0"/>
        <w:spacing w:after="0" w:line="59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玉溪市财政局关于下达2025年省级财政</w:t>
      </w:r>
    </w:p>
    <w:p w14:paraId="2B521E7A">
      <w:pPr>
        <w:keepNext w:val="0"/>
        <w:keepLines w:val="0"/>
        <w:pageBreakBefore w:val="0"/>
        <w:widowControl w:val="0"/>
        <w:pBdr>
          <w:top w:val="none" w:color="auto" w:sz="0" w:space="0"/>
          <w:bottom w:val="none" w:color="auto" w:sz="0" w:space="0"/>
        </w:pBdr>
        <w:kinsoku/>
        <w:wordWrap/>
        <w:overflowPunct w:val="0"/>
        <w:topLinePunct w:val="0"/>
        <w:autoSpaceDE/>
        <w:autoSpaceDN/>
        <w:bidi w:val="0"/>
        <w:snapToGrid w:val="0"/>
        <w:spacing w:after="0" w:line="59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衔接推进乡村振兴补助资金（第四批）的通知</w:t>
      </w:r>
    </w:p>
    <w:p w14:paraId="20F0876E">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jc w:val="center"/>
        <w:textAlignment w:val="auto"/>
        <w:rPr>
          <w:rFonts w:ascii="仿宋_GB2312"/>
          <w:spacing w:val="0"/>
          <w:sz w:val="30"/>
          <w:szCs w:val="30"/>
        </w:rPr>
      </w:pPr>
    </w:p>
    <w:p w14:paraId="376A786E">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val="0"/>
        <w:snapToGrid w:val="0"/>
        <w:spacing w:after="0" w:line="590" w:lineRule="exact"/>
        <w:jc w:val="both"/>
        <w:textAlignment w:val="auto"/>
        <w:rPr>
          <w:rFonts w:hint="eastAsia" w:ascii="Times New Roman" w:hAnsi="Times New Roman" w:eastAsia="方正仿宋_GBK" w:cs="方正仿宋_GBK"/>
          <w:color w:val="auto"/>
          <w:spacing w:val="0"/>
          <w:sz w:val="32"/>
          <w:szCs w:val="32"/>
          <w:lang w:val="en-US" w:eastAsia="zh-CN"/>
        </w:rPr>
      </w:pPr>
      <w:r>
        <w:rPr>
          <w:rFonts w:hint="eastAsia" w:ascii="Times New Roman" w:hAnsi="Times New Roman" w:eastAsia="方正仿宋_GBK" w:cs="方正仿宋_GBK"/>
          <w:color w:val="auto"/>
          <w:spacing w:val="0"/>
          <w:sz w:val="32"/>
          <w:szCs w:val="32"/>
          <w:lang w:eastAsia="zh-CN"/>
        </w:rPr>
        <w:t>各县（市、区）财政局</w:t>
      </w:r>
      <w:r>
        <w:rPr>
          <w:rFonts w:hint="eastAsia" w:ascii="Times New Roman" w:hAnsi="Times New Roman" w:eastAsia="方正仿宋_GBK" w:cs="方正仿宋_GBK"/>
          <w:color w:val="auto"/>
          <w:spacing w:val="0"/>
          <w:sz w:val="32"/>
          <w:szCs w:val="32"/>
        </w:rPr>
        <w:t>：</w:t>
      </w:r>
    </w:p>
    <w:p w14:paraId="195E6C4B">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lang w:eastAsia="zh-CN"/>
        </w:rPr>
      </w:pPr>
      <w:bookmarkStart w:id="0" w:name="正文开始"/>
      <w:bookmarkEnd w:id="0"/>
      <w:r>
        <w:rPr>
          <w:rFonts w:hint="eastAsia" w:ascii="Times New Roman" w:hAnsi="Times New Roman" w:eastAsia="方正仿宋_GBK" w:cs="方正仿宋_GBK"/>
          <w:color w:val="auto"/>
          <w:spacing w:val="0"/>
          <w:sz w:val="32"/>
          <w:szCs w:val="32"/>
          <w:lang w:eastAsia="zh-CN"/>
        </w:rPr>
        <w:t>根据《云南省财政厅关于下达2025年省级财政衔接推进乡村振兴补助资金（第四批）的通知》（</w:t>
      </w:r>
      <w:r>
        <w:rPr>
          <w:rFonts w:hint="eastAsia" w:ascii="Times New Roman" w:hAnsi="Times New Roman" w:eastAsia="方正仿宋_GBK" w:cs="方正仿宋_GBK"/>
          <w:spacing w:val="0"/>
          <w:kern w:val="2"/>
          <w:sz w:val="32"/>
          <w:szCs w:val="32"/>
          <w:lang w:val="en-US" w:eastAsia="zh-CN" w:bidi="ar-SA"/>
        </w:rPr>
        <w:t>云财农〔2025〕97号</w:t>
      </w:r>
      <w:r>
        <w:rPr>
          <w:rFonts w:hint="eastAsia" w:ascii="Times New Roman" w:hAnsi="Times New Roman" w:eastAsia="方正仿宋_GBK" w:cs="方正仿宋_GBK"/>
          <w:color w:val="auto"/>
          <w:spacing w:val="0"/>
          <w:sz w:val="32"/>
          <w:szCs w:val="32"/>
          <w:lang w:eastAsia="zh-CN"/>
        </w:rPr>
        <w:t>），现下达202</w:t>
      </w:r>
      <w:r>
        <w:rPr>
          <w:rFonts w:hint="eastAsia" w:ascii="Times New Roman" w:hAnsi="Times New Roman" w:eastAsia="方正仿宋_GBK" w:cs="方正仿宋_GBK"/>
          <w:color w:val="auto"/>
          <w:spacing w:val="0"/>
          <w:sz w:val="32"/>
          <w:szCs w:val="32"/>
          <w:lang w:val="en-US" w:eastAsia="zh-CN"/>
        </w:rPr>
        <w:t>5</w:t>
      </w:r>
      <w:r>
        <w:rPr>
          <w:rFonts w:hint="eastAsia" w:ascii="Times New Roman" w:hAnsi="Times New Roman" w:eastAsia="方正仿宋_GBK" w:cs="方正仿宋_GBK"/>
          <w:color w:val="auto"/>
          <w:spacing w:val="0"/>
          <w:sz w:val="32"/>
          <w:szCs w:val="32"/>
          <w:lang w:eastAsia="zh-CN"/>
        </w:rPr>
        <w:t>年省级财政衔接推进乡村振兴补助资金（第</w:t>
      </w:r>
      <w:r>
        <w:rPr>
          <w:rFonts w:hint="eastAsia" w:ascii="Times New Roman" w:hAnsi="Times New Roman" w:eastAsia="方正仿宋_GBK" w:cs="方正仿宋_GBK"/>
          <w:color w:val="auto"/>
          <w:spacing w:val="0"/>
          <w:sz w:val="32"/>
          <w:szCs w:val="32"/>
          <w:lang w:val="en-US" w:eastAsia="zh-CN"/>
        </w:rPr>
        <w:t>四</w:t>
      </w:r>
      <w:r>
        <w:rPr>
          <w:rFonts w:hint="eastAsia" w:ascii="Times New Roman" w:hAnsi="Times New Roman" w:eastAsia="方正仿宋_GBK" w:cs="方正仿宋_GBK"/>
          <w:color w:val="auto"/>
          <w:spacing w:val="0"/>
          <w:sz w:val="32"/>
          <w:szCs w:val="32"/>
          <w:lang w:eastAsia="zh-CN"/>
        </w:rPr>
        <w:t>批）（详见附件</w:t>
      </w:r>
      <w:r>
        <w:rPr>
          <w:rFonts w:hint="eastAsia" w:ascii="Times New Roman" w:hAnsi="Times New Roman" w:eastAsia="方正仿宋_GBK" w:cs="方正仿宋_GBK"/>
          <w:color w:val="auto"/>
          <w:spacing w:val="0"/>
          <w:sz w:val="32"/>
          <w:szCs w:val="32"/>
          <w:lang w:val="en-US" w:eastAsia="zh-CN"/>
        </w:rPr>
        <w:t>1</w:t>
      </w:r>
      <w:r>
        <w:rPr>
          <w:rFonts w:hint="eastAsia" w:ascii="Times New Roman" w:hAnsi="Times New Roman" w:eastAsia="方正仿宋_GBK" w:cs="方正仿宋_GBK"/>
          <w:color w:val="auto"/>
          <w:spacing w:val="0"/>
          <w:sz w:val="32"/>
          <w:szCs w:val="32"/>
          <w:lang w:eastAsia="zh-CN"/>
        </w:rPr>
        <w:t>），支出列</w:t>
      </w:r>
      <w:r>
        <w:rPr>
          <w:rFonts w:hint="eastAsia" w:ascii="Times New Roman" w:hAnsi="Times New Roman" w:eastAsia="方正仿宋_GBK" w:cs="方正仿宋_GBK"/>
          <w:color w:val="auto"/>
          <w:spacing w:val="0"/>
          <w:sz w:val="32"/>
          <w:szCs w:val="32"/>
          <w:highlight w:val="none"/>
          <w:lang w:eastAsia="zh-CN"/>
        </w:rPr>
        <w:t>202</w:t>
      </w:r>
      <w:r>
        <w:rPr>
          <w:rFonts w:hint="eastAsia" w:ascii="Times New Roman" w:hAnsi="Times New Roman" w:eastAsia="方正仿宋_GBK" w:cs="方正仿宋_GBK"/>
          <w:color w:val="auto"/>
          <w:spacing w:val="0"/>
          <w:sz w:val="32"/>
          <w:szCs w:val="32"/>
          <w:highlight w:val="none"/>
          <w:lang w:val="en-US" w:eastAsia="zh-CN"/>
        </w:rPr>
        <w:t>5</w:t>
      </w:r>
      <w:r>
        <w:rPr>
          <w:rFonts w:hint="eastAsia" w:ascii="Times New Roman" w:hAnsi="Times New Roman" w:eastAsia="方正仿宋_GBK" w:cs="方正仿宋_GBK"/>
          <w:color w:val="auto"/>
          <w:spacing w:val="0"/>
          <w:sz w:val="32"/>
          <w:szCs w:val="32"/>
          <w:highlight w:val="none"/>
          <w:lang w:eastAsia="zh-CN"/>
        </w:rPr>
        <w:t>年“21305巩固脱贫攻坚成果衔接乡村振兴”相关科目（“项级”科目根据具体实施项目确定）</w:t>
      </w:r>
      <w:r>
        <w:rPr>
          <w:rFonts w:hint="eastAsia" w:ascii="Times New Roman" w:hAnsi="Times New Roman" w:eastAsia="方正仿宋_GBK" w:cs="方正仿宋_GBK"/>
          <w:color w:val="auto"/>
          <w:spacing w:val="0"/>
          <w:sz w:val="32"/>
          <w:szCs w:val="32"/>
          <w:lang w:eastAsia="zh-CN"/>
        </w:rPr>
        <w:t>，</w:t>
      </w:r>
      <w:r>
        <w:rPr>
          <w:rFonts w:hint="eastAsia" w:ascii="Times New Roman" w:hAnsi="Times New Roman" w:eastAsia="方正仿宋_GBK" w:cs="方正仿宋_GBK"/>
          <w:color w:val="auto"/>
          <w:spacing w:val="0"/>
          <w:sz w:val="32"/>
          <w:szCs w:val="32"/>
          <w:highlight w:val="none"/>
          <w:lang w:eastAsia="zh-CN"/>
        </w:rPr>
        <w:t>经济科目列“51301上下级政府间转移性支出”</w:t>
      </w:r>
      <w:r>
        <w:rPr>
          <w:rFonts w:hint="eastAsia" w:ascii="Times New Roman" w:hAnsi="Times New Roman" w:eastAsia="方正仿宋_GBK" w:cs="方正仿宋_GBK"/>
          <w:color w:val="auto"/>
          <w:spacing w:val="0"/>
          <w:sz w:val="32"/>
          <w:szCs w:val="32"/>
          <w:lang w:eastAsia="zh-CN"/>
        </w:rPr>
        <w:t>。现就资金使用管理有关事宜通知如下：</w:t>
      </w:r>
    </w:p>
    <w:p w14:paraId="495D1BD3">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lang w:val="en-US" w:eastAsia="zh-CN" w:bidi="ar-SA"/>
        </w:rPr>
      </w:pPr>
      <w:r>
        <w:rPr>
          <w:rFonts w:hint="eastAsia" w:ascii="方正黑体_GBK" w:hAnsi="方正黑体_GBK" w:eastAsia="方正黑体_GBK" w:cs="方正黑体_GBK"/>
          <w:color w:val="auto"/>
          <w:spacing w:val="0"/>
          <w:sz w:val="32"/>
          <w:szCs w:val="32"/>
          <w:lang w:eastAsia="zh-CN"/>
        </w:rPr>
        <w:t>一、切实管好用好衔接资金。</w:t>
      </w:r>
      <w:r>
        <w:rPr>
          <w:rFonts w:hint="eastAsia" w:ascii="Times New Roman" w:hAnsi="Times New Roman" w:eastAsia="方正仿宋_GBK" w:cs="方正仿宋_GBK"/>
          <w:color w:val="auto"/>
          <w:spacing w:val="0"/>
          <w:sz w:val="32"/>
          <w:szCs w:val="32"/>
          <w:lang w:eastAsia="zh-CN"/>
        </w:rPr>
        <w:t>认真贯彻落实党中央、国务院关于巩固拓展脱贫攻坚成果同乡村振兴有效衔接的决策部署和省委、省人民政府工作要求，</w:t>
      </w:r>
      <w:r>
        <w:rPr>
          <w:rFonts w:hint="eastAsia" w:ascii="Times New Roman" w:hAnsi="Times New Roman" w:eastAsia="方正仿宋_GBK" w:cs="方正仿宋_GBK"/>
          <w:color w:val="auto"/>
          <w:spacing w:val="0"/>
          <w:sz w:val="32"/>
          <w:szCs w:val="32"/>
          <w:lang w:val="en-US" w:eastAsia="zh-CN" w:bidi="ar-SA"/>
        </w:rPr>
        <w:t>严格按照《云南省财政衔接推进乡村振兴补助资金管理办法》（云财农〔2021〕140号）和《云南省财政厅等六部门关于修订〈加强中央和省级财政衔接推进乡村振兴补助资金使用管理的实施意见〉的通知》（云财规〔2024〕10号）规定和要求安排使用资金，</w:t>
      </w:r>
      <w:r>
        <w:rPr>
          <w:rFonts w:hint="eastAsia" w:ascii="Times New Roman" w:hAnsi="Times New Roman" w:eastAsia="方正仿宋_GBK" w:cs="方正仿宋_GBK"/>
          <w:color w:val="auto"/>
          <w:spacing w:val="0"/>
          <w:sz w:val="32"/>
          <w:szCs w:val="32"/>
          <w:lang w:eastAsia="zh-CN"/>
        </w:rPr>
        <w:t>加强资金项目管理，收到上级资金后</w:t>
      </w:r>
      <w:r>
        <w:rPr>
          <w:rFonts w:hint="eastAsia" w:ascii="Times New Roman" w:hAnsi="Times New Roman" w:eastAsia="方正仿宋_GBK" w:cs="方正仿宋_GBK"/>
          <w:color w:val="auto"/>
          <w:spacing w:val="0"/>
          <w:sz w:val="32"/>
          <w:szCs w:val="32"/>
          <w:lang w:val="en-US" w:eastAsia="zh-CN"/>
        </w:rPr>
        <w:t>30日内</w:t>
      </w:r>
      <w:r>
        <w:rPr>
          <w:rFonts w:hint="eastAsia" w:ascii="Times New Roman" w:hAnsi="Times New Roman" w:eastAsia="方正仿宋_GBK" w:cs="方正仿宋_GBK"/>
          <w:color w:val="auto"/>
          <w:spacing w:val="0"/>
          <w:sz w:val="32"/>
          <w:szCs w:val="32"/>
          <w:lang w:eastAsia="zh-CN"/>
        </w:rPr>
        <w:t>将资金分解下达到具体单位和项目（资金下达超时情况将纳入后续资金测算分配因素），优先选择条件成熟的项目，加强项目实施跟踪调度</w:t>
      </w:r>
      <w:r>
        <w:rPr>
          <w:rFonts w:hint="eastAsia" w:ascii="Times New Roman" w:hAnsi="Times New Roman" w:eastAsia="方正仿宋_GBK" w:cs="方正仿宋_GBK"/>
          <w:color w:val="auto"/>
          <w:spacing w:val="0"/>
          <w:sz w:val="32"/>
          <w:szCs w:val="32"/>
          <w:lang w:val="en-US" w:eastAsia="zh-CN"/>
        </w:rPr>
        <w:t>，</w:t>
      </w:r>
      <w:r>
        <w:rPr>
          <w:rFonts w:hint="eastAsia" w:ascii="Times New Roman" w:hAnsi="Times New Roman" w:eastAsia="方正仿宋_GBK" w:cs="方正仿宋_GBK"/>
          <w:color w:val="auto"/>
          <w:spacing w:val="0"/>
          <w:sz w:val="32"/>
          <w:szCs w:val="32"/>
          <w:lang w:eastAsia="zh-CN"/>
        </w:rPr>
        <w:t>加快资金支出。持续强化资金监管，指导督促部门开展全过程绩效管理，确保资金使用规范安全，充分发挥资金使用效益。</w:t>
      </w:r>
    </w:p>
    <w:p w14:paraId="504A8649">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highlight w:val="none"/>
          <w:lang w:val="en-US" w:eastAsia="zh-CN" w:bidi="ar-SA"/>
        </w:rPr>
      </w:pPr>
      <w:r>
        <w:rPr>
          <w:rFonts w:hint="eastAsia" w:ascii="方正黑体_GBK" w:hAnsi="方正黑体_GBK" w:eastAsia="方正黑体_GBK" w:cs="方正黑体_GBK"/>
          <w:color w:val="auto"/>
          <w:spacing w:val="0"/>
          <w:sz w:val="32"/>
          <w:szCs w:val="32"/>
          <w:lang w:eastAsia="zh-CN"/>
        </w:rPr>
        <w:t>二、突出衔接资金支持重点。</w:t>
      </w:r>
      <w:r>
        <w:rPr>
          <w:rFonts w:hint="eastAsia" w:ascii="Times New Roman" w:hAnsi="Times New Roman" w:eastAsia="方正仿宋_GBK" w:cs="方正仿宋_GBK"/>
          <w:color w:val="auto"/>
          <w:spacing w:val="0"/>
          <w:sz w:val="32"/>
          <w:szCs w:val="32"/>
          <w:lang w:eastAsia="zh-CN"/>
        </w:rPr>
        <w:t>贯彻落实党的二十届三中全会精神，党中央、国务院关于更多依靠发展来巩固拓展脱贫攻坚成果决策部署和省委、省人民政府工作要求，突出衔接资金支持重点，优先支持联农带农富农产业发展，202</w:t>
      </w:r>
      <w:r>
        <w:rPr>
          <w:rFonts w:hint="eastAsia" w:ascii="Times New Roman" w:hAnsi="Times New Roman" w:eastAsia="方正仿宋_GBK" w:cs="方正仿宋_GBK"/>
          <w:color w:val="auto"/>
          <w:spacing w:val="0"/>
          <w:sz w:val="32"/>
          <w:szCs w:val="32"/>
          <w:lang w:val="en-US" w:eastAsia="zh-CN"/>
        </w:rPr>
        <w:t>5</w:t>
      </w:r>
      <w:r>
        <w:rPr>
          <w:rFonts w:hint="eastAsia" w:ascii="Times New Roman" w:hAnsi="Times New Roman" w:eastAsia="方正仿宋_GBK" w:cs="方正仿宋_GBK"/>
          <w:color w:val="auto"/>
          <w:spacing w:val="0"/>
          <w:sz w:val="32"/>
          <w:szCs w:val="32"/>
          <w:lang w:eastAsia="zh-CN"/>
        </w:rPr>
        <w:t>年用于乡村产业发展的衔接资金占比原则上不得低于下达你地区资金总规模的</w:t>
      </w:r>
      <w:r>
        <w:rPr>
          <w:rFonts w:hint="eastAsia" w:ascii="Times New Roman" w:hAnsi="Times New Roman" w:eastAsia="方正仿宋_GBK" w:cs="方正仿宋_GBK"/>
          <w:color w:val="auto"/>
          <w:spacing w:val="0"/>
          <w:sz w:val="32"/>
          <w:szCs w:val="32"/>
          <w:lang w:val="en-US" w:eastAsia="zh-CN"/>
        </w:rPr>
        <w:t>52%</w:t>
      </w:r>
      <w:r>
        <w:rPr>
          <w:rFonts w:hint="eastAsia" w:ascii="Times New Roman" w:hAnsi="Times New Roman" w:eastAsia="方正仿宋_GBK" w:cs="方正仿宋_GBK"/>
          <w:color w:val="auto"/>
          <w:spacing w:val="0"/>
          <w:sz w:val="32"/>
          <w:szCs w:val="32"/>
          <w:lang w:eastAsia="zh-CN"/>
        </w:rPr>
        <w:t>，进一步巩固拓展脱贫攻坚成果，增强脱贫地区和脱贫群众内生发展动力。</w:t>
      </w:r>
    </w:p>
    <w:p w14:paraId="4D1995A3">
      <w:pPr>
        <w:pStyle w:val="2"/>
        <w:keepNext w:val="0"/>
        <w:keepLines w:val="0"/>
        <w:pageBreakBefore w:val="0"/>
        <w:widowControl w:val="0"/>
        <w:kinsoku/>
        <w:wordWrap/>
        <w:overflowPunct w:val="0"/>
        <w:topLinePunct w:val="0"/>
        <w:autoSpaceDE/>
        <w:autoSpaceDN/>
        <w:bidi w:val="0"/>
        <w:adjustRightInd/>
        <w:snapToGrid/>
        <w:spacing w:after="0" w:line="590" w:lineRule="exact"/>
        <w:jc w:val="both"/>
        <w:textAlignment w:val="auto"/>
        <w:rPr>
          <w:rFonts w:hint="eastAsia" w:ascii="Times New Roman" w:hAnsi="Times New Roman" w:eastAsia="方正仿宋_GBK" w:cs="方正仿宋_GBK"/>
          <w:color w:val="auto"/>
          <w:spacing w:val="0"/>
          <w:kern w:val="2"/>
          <w:sz w:val="32"/>
          <w:szCs w:val="32"/>
          <w:lang w:val="en-US" w:eastAsia="zh-CN" w:bidi="ar-SA"/>
        </w:rPr>
      </w:pPr>
      <w:r>
        <w:rPr>
          <w:rFonts w:hint="eastAsia" w:ascii="方正黑体_GBK" w:hAnsi="方正黑体_GBK" w:eastAsia="方正黑体_GBK" w:cs="方正黑体_GBK"/>
          <w:color w:val="auto"/>
          <w:spacing w:val="0"/>
          <w:sz w:val="32"/>
          <w:szCs w:val="32"/>
          <w:highlight w:val="none"/>
          <w:lang w:val="en-US" w:eastAsia="zh-CN" w:bidi="ar-SA"/>
        </w:rPr>
        <w:t>三</w:t>
      </w:r>
      <w:r>
        <w:rPr>
          <w:rFonts w:hint="eastAsia" w:ascii="方正黑体_GBK" w:hAnsi="方正黑体_GBK" w:eastAsia="方正黑体_GBK" w:cs="方正黑体_GBK"/>
          <w:color w:val="auto"/>
          <w:spacing w:val="0"/>
          <w:sz w:val="32"/>
          <w:szCs w:val="32"/>
          <w:lang w:val="en-US" w:eastAsia="zh-CN" w:bidi="ar-SA"/>
        </w:rPr>
        <w:t>、</w:t>
      </w:r>
      <w:r>
        <w:rPr>
          <w:rFonts w:hint="eastAsia" w:ascii="方正黑体_GBK" w:hAnsi="方正黑体_GBK" w:eastAsia="方正黑体_GBK" w:cs="方正黑体_GBK"/>
          <w:color w:val="auto"/>
          <w:spacing w:val="0"/>
          <w:kern w:val="2"/>
          <w:sz w:val="32"/>
          <w:szCs w:val="32"/>
          <w:lang w:val="en-US" w:eastAsia="zh-CN" w:bidi="ar-SA"/>
        </w:rPr>
        <w:t>全面提升衔接资金管理水平。</w:t>
      </w:r>
      <w:r>
        <w:rPr>
          <w:rFonts w:hint="eastAsia" w:ascii="Times New Roman" w:hAnsi="Times New Roman" w:eastAsia="方正仿宋_GBK" w:cs="方正仿宋_GBK"/>
          <w:color w:val="auto"/>
          <w:spacing w:val="0"/>
          <w:kern w:val="2"/>
          <w:sz w:val="32"/>
          <w:szCs w:val="32"/>
          <w:lang w:val="en-US" w:eastAsia="zh-CN" w:bidi="ar-SA"/>
        </w:rPr>
        <w:t>本次资金分配突出绩效导向，将</w:t>
      </w:r>
      <w:r>
        <w:rPr>
          <w:rFonts w:hint="eastAsia" w:ascii="Times New Roman" w:hAnsi="Times New Roman" w:eastAsia="方正仿宋_GBK" w:cs="方正仿宋_GBK"/>
          <w:b w:val="0"/>
          <w:bCs w:val="0"/>
          <w:color w:val="auto"/>
          <w:spacing w:val="0"/>
          <w:kern w:val="2"/>
          <w:sz w:val="32"/>
          <w:szCs w:val="32"/>
          <w:highlight w:val="none"/>
          <w:lang w:val="en-US" w:eastAsia="zh-CN" w:bidi="ar-SA"/>
        </w:rPr>
        <w:t>支出进度因素、</w:t>
      </w:r>
      <w:r>
        <w:rPr>
          <w:rFonts w:hint="eastAsia" w:ascii="Times New Roman" w:hAnsi="Times New Roman" w:eastAsia="方正仿宋_GBK" w:cs="方正仿宋_GBK"/>
          <w:color w:val="auto"/>
          <w:spacing w:val="0"/>
          <w:kern w:val="2"/>
          <w:sz w:val="32"/>
          <w:szCs w:val="32"/>
          <w:lang w:val="en-US" w:eastAsia="zh-CN" w:bidi="ar-SA"/>
        </w:rPr>
        <w:t>衔接资金支持产业绩效评价、省级分部门分任务对各地项目库调度发现问题及整改情况等</w:t>
      </w:r>
      <w:r>
        <w:rPr>
          <w:rFonts w:hint="eastAsia" w:ascii="Times New Roman" w:hAnsi="Times New Roman" w:eastAsia="方正仿宋_GBK" w:cs="方正仿宋_GBK"/>
          <w:b w:val="0"/>
          <w:bCs w:val="0"/>
          <w:color w:val="auto"/>
          <w:spacing w:val="0"/>
          <w:kern w:val="2"/>
          <w:sz w:val="32"/>
          <w:szCs w:val="32"/>
          <w:highlight w:val="none"/>
          <w:lang w:val="en-US" w:eastAsia="zh-CN" w:bidi="ar-SA"/>
        </w:rPr>
        <w:t>绩效管理因素作为资金分配的重要因素。各地要以此次资金分配为契机，强短板补弱项，保持衔接资金监管高压态势，全面提升资金管理水平。同时，考虑今年洪涝、冰雹等自然灾害对巩固脱贫成果的影响，确保过渡期收官之年不因受灾影响巩固脱贫成果工作，对受灾重的地区给予测算支持，县级可使用衔接资金用于受灾地区符合衔接资金管理办法规定范围的项目建设，严禁用于负面清单事项。</w:t>
      </w:r>
    </w:p>
    <w:p w14:paraId="69BD1107">
      <w:pPr>
        <w:pStyle w:val="2"/>
        <w:keepNext w:val="0"/>
        <w:keepLines w:val="0"/>
        <w:pageBreakBefore w:val="0"/>
        <w:widowControl w:val="0"/>
        <w:kinsoku/>
        <w:wordWrap/>
        <w:overflowPunct w:val="0"/>
        <w:topLinePunct w:val="0"/>
        <w:autoSpaceDE/>
        <w:autoSpaceDN/>
        <w:bidi w:val="0"/>
        <w:adjustRightInd/>
        <w:snapToGrid/>
        <w:spacing w:after="0" w:line="590" w:lineRule="exact"/>
        <w:ind w:left="0" w:leftChars="0" w:firstLine="0" w:firstLineChars="0"/>
        <w:jc w:val="both"/>
        <w:textAlignment w:val="auto"/>
        <w:rPr>
          <w:rFonts w:hint="eastAsia" w:ascii="Times New Roman" w:hAnsi="Times New Roman" w:eastAsia="方正仿宋_GBK" w:cs="方正仿宋_GBK"/>
          <w:color w:val="auto"/>
          <w:spacing w:val="0"/>
          <w:kern w:val="2"/>
          <w:sz w:val="32"/>
          <w:szCs w:val="32"/>
          <w:highlight w:val="none"/>
          <w:lang w:val="en-US" w:eastAsia="zh-CN" w:bidi="ar-SA"/>
        </w:rPr>
      </w:pPr>
    </w:p>
    <w:p w14:paraId="73AF5491">
      <w:pPr>
        <w:pStyle w:val="2"/>
        <w:keepNext w:val="0"/>
        <w:keepLines w:val="0"/>
        <w:pageBreakBefore w:val="0"/>
        <w:widowControl w:val="0"/>
        <w:kinsoku/>
        <w:wordWrap/>
        <w:overflowPunct w:val="0"/>
        <w:topLinePunct w:val="0"/>
        <w:autoSpaceDE/>
        <w:autoSpaceDN/>
        <w:bidi w:val="0"/>
        <w:adjustRightInd/>
        <w:snapToGrid/>
        <w:spacing w:after="0" w:line="590" w:lineRule="exact"/>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kern w:val="2"/>
          <w:sz w:val="32"/>
          <w:szCs w:val="32"/>
          <w:highlight w:val="none"/>
          <w:lang w:val="en-US" w:bidi="ar-SA"/>
        </w:rPr>
        <w:t>附件：</w:t>
      </w:r>
      <w:r>
        <w:rPr>
          <w:rFonts w:hint="eastAsia" w:ascii="Times New Roman" w:hAnsi="Times New Roman" w:eastAsia="方正仿宋_GBK" w:cs="方正仿宋_GBK"/>
          <w:color w:val="auto"/>
          <w:spacing w:val="0"/>
          <w:kern w:val="2"/>
          <w:sz w:val="32"/>
          <w:szCs w:val="32"/>
          <w:highlight w:val="none"/>
          <w:lang w:val="en-US" w:eastAsia="zh-CN" w:bidi="ar-SA"/>
        </w:rPr>
        <w:t>1．</w:t>
      </w:r>
      <w:r>
        <w:rPr>
          <w:rFonts w:hint="eastAsia" w:ascii="Times New Roman" w:hAnsi="Times New Roman" w:eastAsia="方正仿宋_GBK" w:cs="方正仿宋_GBK"/>
          <w:color w:val="auto"/>
          <w:spacing w:val="0"/>
          <w:kern w:val="2"/>
          <w:sz w:val="32"/>
          <w:szCs w:val="32"/>
          <w:highlight w:val="none"/>
          <w:lang w:val="en-US" w:bidi="ar-SA"/>
        </w:rPr>
        <w:t>202</w:t>
      </w:r>
      <w:r>
        <w:rPr>
          <w:rFonts w:hint="eastAsia" w:ascii="Times New Roman" w:hAnsi="Times New Roman" w:eastAsia="方正仿宋_GBK" w:cs="方正仿宋_GBK"/>
          <w:color w:val="auto"/>
          <w:spacing w:val="0"/>
          <w:kern w:val="2"/>
          <w:sz w:val="32"/>
          <w:szCs w:val="32"/>
          <w:highlight w:val="none"/>
          <w:lang w:val="en-US" w:eastAsia="zh-CN" w:bidi="ar-SA"/>
        </w:rPr>
        <w:t>5</w:t>
      </w:r>
      <w:r>
        <w:rPr>
          <w:rFonts w:hint="eastAsia" w:ascii="Times New Roman" w:hAnsi="Times New Roman" w:eastAsia="方正仿宋_GBK" w:cs="方正仿宋_GBK"/>
          <w:color w:val="auto"/>
          <w:spacing w:val="0"/>
          <w:kern w:val="2"/>
          <w:sz w:val="32"/>
          <w:szCs w:val="32"/>
          <w:highlight w:val="none"/>
          <w:lang w:val="en-US" w:bidi="ar-SA"/>
        </w:rPr>
        <w:t>年省级财政衔</w:t>
      </w:r>
      <w:r>
        <w:rPr>
          <w:rFonts w:hint="eastAsia" w:ascii="Times New Roman" w:hAnsi="Times New Roman" w:eastAsia="方正仿宋_GBK" w:cs="方正仿宋_GBK"/>
          <w:color w:val="auto"/>
          <w:spacing w:val="0"/>
          <w:sz w:val="32"/>
          <w:szCs w:val="32"/>
        </w:rPr>
        <w:t>接推进乡村振兴补助资金</w:t>
      </w:r>
    </w:p>
    <w:p w14:paraId="565D5BD9">
      <w:pPr>
        <w:pStyle w:val="2"/>
        <w:keepNext w:val="0"/>
        <w:keepLines w:val="0"/>
        <w:pageBreakBefore w:val="0"/>
        <w:widowControl w:val="0"/>
        <w:kinsoku/>
        <w:wordWrap/>
        <w:overflowPunct w:val="0"/>
        <w:topLinePunct w:val="0"/>
        <w:autoSpaceDE/>
        <w:autoSpaceDN/>
        <w:bidi w:val="0"/>
        <w:adjustRightInd/>
        <w:snapToGrid/>
        <w:spacing w:after="0" w:line="590" w:lineRule="exact"/>
        <w:ind w:left="0" w:leftChars="0" w:firstLine="2051" w:firstLineChars="641"/>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sz w:val="32"/>
          <w:szCs w:val="32"/>
          <w:lang w:eastAsia="zh-CN"/>
        </w:rPr>
        <w:t>（第</w:t>
      </w:r>
      <w:r>
        <w:rPr>
          <w:rFonts w:hint="eastAsia" w:ascii="Times New Roman" w:hAnsi="Times New Roman" w:eastAsia="方正仿宋_GBK" w:cs="方正仿宋_GBK"/>
          <w:color w:val="auto"/>
          <w:spacing w:val="0"/>
          <w:sz w:val="32"/>
          <w:szCs w:val="32"/>
          <w:lang w:val="en-US" w:eastAsia="zh-CN"/>
        </w:rPr>
        <w:t>四</w:t>
      </w:r>
      <w:r>
        <w:rPr>
          <w:rFonts w:hint="eastAsia" w:ascii="Times New Roman" w:hAnsi="Times New Roman" w:eastAsia="方正仿宋_GBK" w:cs="方正仿宋_GBK"/>
          <w:color w:val="auto"/>
          <w:spacing w:val="0"/>
          <w:sz w:val="32"/>
          <w:szCs w:val="32"/>
          <w:lang w:eastAsia="zh-CN"/>
        </w:rPr>
        <w:t>批）下达表</w:t>
      </w:r>
    </w:p>
    <w:p w14:paraId="6B1D52C1">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1600" w:firstLineChars="500"/>
        <w:jc w:val="both"/>
        <w:textAlignment w:val="auto"/>
        <w:rPr>
          <w:rFonts w:hint="eastAsia" w:ascii="Times New Roman" w:hAnsi="Times New Roman" w:eastAsia="方正仿宋_GBK" w:cs="方正仿宋_GBK"/>
          <w:color w:val="auto"/>
          <w:spacing w:val="0"/>
          <w:sz w:val="32"/>
          <w:szCs w:val="32"/>
          <w:lang w:eastAsia="zh-CN"/>
        </w:rPr>
      </w:pPr>
      <w:r>
        <w:rPr>
          <w:rFonts w:hint="eastAsia" w:ascii="Times New Roman" w:hAnsi="Times New Roman" w:eastAsia="方正仿宋_GBK" w:cs="方正仿宋_GBK"/>
          <w:color w:val="auto"/>
          <w:spacing w:val="0"/>
          <w:sz w:val="32"/>
          <w:szCs w:val="32"/>
        </w:rPr>
        <w:t>2</w:t>
      </w:r>
      <w:r>
        <w:rPr>
          <w:rFonts w:hint="eastAsia" w:ascii="Times New Roman" w:hAnsi="Times New Roman" w:eastAsia="方正仿宋_GBK" w:cs="方正仿宋_GBK"/>
          <w:color w:val="auto"/>
          <w:spacing w:val="0"/>
          <w:sz w:val="32"/>
          <w:szCs w:val="32"/>
          <w:lang w:eastAsia="zh-CN"/>
        </w:rPr>
        <w:t>．</w:t>
      </w:r>
      <w:r>
        <w:rPr>
          <w:rFonts w:hint="eastAsia" w:ascii="Times New Roman" w:hAnsi="Times New Roman" w:eastAsia="方正仿宋_GBK" w:cs="方正仿宋_GBK"/>
          <w:color w:val="auto"/>
          <w:spacing w:val="0"/>
          <w:sz w:val="32"/>
          <w:szCs w:val="32"/>
        </w:rPr>
        <w:t>202</w:t>
      </w:r>
      <w:r>
        <w:rPr>
          <w:rFonts w:hint="eastAsia" w:ascii="Times New Roman" w:hAnsi="Times New Roman" w:eastAsia="方正仿宋_GBK" w:cs="方正仿宋_GBK"/>
          <w:color w:val="auto"/>
          <w:spacing w:val="0"/>
          <w:sz w:val="32"/>
          <w:szCs w:val="32"/>
          <w:lang w:val="en-US" w:eastAsia="zh-CN"/>
        </w:rPr>
        <w:t>5</w:t>
      </w:r>
      <w:r>
        <w:rPr>
          <w:rFonts w:hint="eastAsia" w:ascii="Times New Roman" w:hAnsi="Times New Roman" w:eastAsia="方正仿宋_GBK" w:cs="方正仿宋_GBK"/>
          <w:color w:val="auto"/>
          <w:spacing w:val="0"/>
          <w:sz w:val="32"/>
          <w:szCs w:val="32"/>
        </w:rPr>
        <w:t>年省级财政衔接推进乡村振兴补助资</w:t>
      </w:r>
      <w:r>
        <w:rPr>
          <w:rFonts w:hint="eastAsia" w:ascii="Times New Roman" w:hAnsi="Times New Roman" w:eastAsia="方正仿宋_GBK" w:cs="方正仿宋_GBK"/>
          <w:color w:val="auto"/>
          <w:spacing w:val="0"/>
          <w:sz w:val="32"/>
          <w:szCs w:val="32"/>
          <w:lang w:eastAsia="zh-CN"/>
        </w:rPr>
        <w:t>金</w:t>
      </w:r>
    </w:p>
    <w:p w14:paraId="6123E89B">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1920" w:firstLineChars="600"/>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sz w:val="32"/>
          <w:szCs w:val="32"/>
          <w:lang w:eastAsia="zh-CN"/>
        </w:rPr>
        <w:t>（第四批）</w:t>
      </w:r>
      <w:r>
        <w:rPr>
          <w:rFonts w:hint="eastAsia" w:ascii="Times New Roman" w:hAnsi="Times New Roman" w:eastAsia="方正仿宋_GBK" w:cs="方正仿宋_GBK"/>
          <w:color w:val="auto"/>
          <w:spacing w:val="0"/>
          <w:sz w:val="32"/>
          <w:szCs w:val="32"/>
        </w:rPr>
        <w:t>绩效目标表</w:t>
      </w:r>
    </w:p>
    <w:p w14:paraId="77AFD84B">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left="1882" w:leftChars="744" w:hanging="320" w:hangingChars="100"/>
        <w:jc w:val="both"/>
        <w:textAlignment w:val="auto"/>
        <w:rPr>
          <w:rFonts w:hint="eastAsia" w:ascii="Times New Roman" w:hAnsi="Times New Roman" w:eastAsia="方正仿宋_GBK" w:cs="方正仿宋_GBK"/>
          <w:color w:val="auto"/>
          <w:spacing w:val="0"/>
          <w:sz w:val="32"/>
          <w:szCs w:val="32"/>
        </w:rPr>
      </w:pPr>
    </w:p>
    <w:p w14:paraId="32617664">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p>
    <w:p w14:paraId="7177F8B5">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p>
    <w:p w14:paraId="7ADFDE4A">
      <w:pPr>
        <w:pStyle w:val="2"/>
        <w:keepNext w:val="0"/>
        <w:keepLines w:val="0"/>
        <w:pageBreakBefore w:val="0"/>
        <w:widowControl w:val="0"/>
        <w:kinsoku/>
        <w:wordWrap/>
        <w:overflowPunct w:val="0"/>
        <w:topLinePunct w:val="0"/>
        <w:autoSpaceDE/>
        <w:autoSpaceDN/>
        <w:bidi w:val="0"/>
        <w:adjustRightInd/>
        <w:snapToGrid/>
        <w:spacing w:after="0" w:line="590" w:lineRule="exact"/>
        <w:ind w:firstLine="629"/>
        <w:textAlignment w:val="auto"/>
        <w:rPr>
          <w:rFonts w:hint="eastAsia" w:ascii="Times New Roman" w:hAnsi="Times New Roman" w:eastAsia="方正仿宋_GBK" w:cs="方正仿宋_GBK"/>
          <w:spacing w:val="0"/>
          <w:sz w:val="32"/>
          <w:szCs w:val="32"/>
        </w:rPr>
      </w:pPr>
    </w:p>
    <w:p w14:paraId="7F735C4D">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jc w:val="center"/>
        <w:textAlignment w:val="auto"/>
        <w:rPr>
          <w:rFonts w:hint="eastAsia" w:ascii="Times New Roman" w:hAnsi="Times New Roman" w:eastAsia="方正仿宋_GBK" w:cs="方正仿宋_GBK"/>
          <w:color w:val="auto"/>
          <w:spacing w:val="0"/>
          <w:sz w:val="32"/>
          <w:szCs w:val="32"/>
          <w:lang w:val="en-US" w:eastAsia="zh-CN"/>
        </w:rPr>
      </w:pPr>
      <w:r>
        <w:rPr>
          <w:rFonts w:hint="eastAsia" w:ascii="Times New Roman" w:hAnsi="Times New Roman" w:eastAsia="方正仿宋_GBK" w:cs="方正仿宋_GBK"/>
          <w:color w:val="auto"/>
          <w:spacing w:val="0"/>
          <w:sz w:val="32"/>
          <w:szCs w:val="32"/>
          <w:lang w:val="en-US" w:eastAsia="zh-CN"/>
        </w:rPr>
        <w:t xml:space="preserve">                     </w:t>
      </w:r>
      <w:r>
        <w:rPr>
          <w:rFonts w:hint="eastAsia" w:ascii="Times New Roman" w:hAnsi="Times New Roman" w:eastAsia="方正仿宋_GBK" w:cs="方正仿宋_GBK"/>
          <w:color w:val="auto"/>
          <w:spacing w:val="0"/>
          <w:sz w:val="32"/>
          <w:szCs w:val="32"/>
        </w:rPr>
        <w:t>2025年</w:t>
      </w:r>
      <w:r>
        <w:rPr>
          <w:rFonts w:hint="eastAsia" w:ascii="Times New Roman" w:hAnsi="Times New Roman" w:eastAsia="方正仿宋_GBK" w:cs="方正仿宋_GBK"/>
          <w:color w:val="auto"/>
          <w:spacing w:val="0"/>
          <w:sz w:val="32"/>
          <w:szCs w:val="32"/>
          <w:lang w:val="en-US" w:eastAsia="zh-CN"/>
        </w:rPr>
        <w:t>7</w:t>
      </w:r>
      <w:r>
        <w:rPr>
          <w:rFonts w:hint="eastAsia" w:ascii="Times New Roman" w:hAnsi="Times New Roman" w:eastAsia="方正仿宋_GBK" w:cs="方正仿宋_GBK"/>
          <w:color w:val="auto"/>
          <w:spacing w:val="0"/>
          <w:sz w:val="32"/>
          <w:szCs w:val="32"/>
        </w:rPr>
        <w:t>月</w:t>
      </w:r>
      <w:r>
        <w:rPr>
          <w:rFonts w:hint="eastAsia" w:ascii="Times New Roman" w:hAnsi="Times New Roman" w:eastAsia="方正仿宋_GBK" w:cs="方正仿宋_GBK"/>
          <w:color w:val="auto"/>
          <w:spacing w:val="0"/>
          <w:sz w:val="32"/>
          <w:szCs w:val="32"/>
          <w:lang w:val="en-US" w:eastAsia="zh-CN"/>
        </w:rPr>
        <w:t>31</w:t>
      </w:r>
      <w:r>
        <w:rPr>
          <w:rFonts w:hint="eastAsia" w:ascii="Times New Roman" w:hAnsi="Times New Roman" w:eastAsia="方正仿宋_GBK" w:cs="方正仿宋_GBK"/>
          <w:color w:val="auto"/>
          <w:spacing w:val="0"/>
          <w:sz w:val="32"/>
          <w:szCs w:val="32"/>
        </w:rPr>
        <w:t>日</w:t>
      </w:r>
    </w:p>
    <w:p w14:paraId="2558EFB6">
      <w:pPr>
        <w:pStyle w:val="2"/>
        <w:keepNext w:val="0"/>
        <w:keepLines w:val="0"/>
        <w:pageBreakBefore w:val="0"/>
        <w:widowControl w:val="0"/>
        <w:kinsoku/>
        <w:wordWrap/>
        <w:topLinePunct w:val="0"/>
        <w:autoSpaceDE/>
        <w:autoSpaceDN/>
        <w:bidi w:val="0"/>
        <w:spacing w:line="590" w:lineRule="exact"/>
        <w:ind w:left="0" w:leftChars="0" w:firstLine="0" w:firstLineChars="0"/>
        <w:textAlignment w:val="auto"/>
        <w:rPr>
          <w:rFonts w:ascii="Times New Roman" w:hAnsi="Times New Roman" w:eastAsia="仿宋_GB2312"/>
          <w:sz w:val="28"/>
          <w:szCs w:val="28"/>
        </w:rPr>
      </w:pPr>
    </w:p>
    <w:p w14:paraId="700C30CD">
      <w:pPr>
        <w:pStyle w:val="2"/>
        <w:keepNext w:val="0"/>
        <w:keepLines w:val="0"/>
        <w:pageBreakBefore w:val="0"/>
        <w:widowControl w:val="0"/>
        <w:kinsoku/>
        <w:wordWrap/>
        <w:topLinePunct w:val="0"/>
        <w:autoSpaceDE/>
        <w:autoSpaceDN/>
        <w:bidi w:val="0"/>
        <w:spacing w:line="590" w:lineRule="exact"/>
        <w:textAlignment w:val="auto"/>
        <w:rPr>
          <w:rFonts w:ascii="Times New Roman" w:hAnsi="Times New Roman" w:eastAsia="仿宋_GB2312"/>
          <w:sz w:val="28"/>
          <w:szCs w:val="28"/>
        </w:rPr>
        <w:sectPr>
          <w:footerReference r:id="rId3" w:type="default"/>
          <w:footerReference r:id="rId4" w:type="even"/>
          <w:pgSz w:w="11906" w:h="16838"/>
          <w:pgMar w:top="2041" w:right="1474" w:bottom="1304" w:left="1587" w:header="851" w:footer="992" w:gutter="0"/>
          <w:pgNumType w:fmt="decimal"/>
          <w:cols w:space="0" w:num="1"/>
          <w:docGrid w:type="linesAndChars" w:linePitch="312" w:charSpace="0"/>
        </w:sectPr>
      </w:pPr>
    </w:p>
    <w:p w14:paraId="58EBD6F1">
      <w:pPr>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1</w:t>
      </w:r>
    </w:p>
    <w:tbl>
      <w:tblPr>
        <w:tblStyle w:val="5"/>
        <w:tblW w:w="147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6"/>
        <w:gridCol w:w="1771"/>
        <w:gridCol w:w="1125"/>
        <w:gridCol w:w="1845"/>
        <w:gridCol w:w="1920"/>
        <w:gridCol w:w="2715"/>
        <w:gridCol w:w="2940"/>
        <w:gridCol w:w="1800"/>
      </w:tblGrid>
      <w:tr w14:paraId="45854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4712" w:type="dxa"/>
            <w:gridSpan w:val="8"/>
            <w:tcBorders>
              <w:top w:val="nil"/>
              <w:left w:val="nil"/>
              <w:bottom w:val="nil"/>
              <w:right w:val="nil"/>
            </w:tcBorders>
            <w:shd w:val="clear" w:color="auto" w:fill="auto"/>
            <w:vAlign w:val="center"/>
          </w:tcPr>
          <w:p w14:paraId="3AFF253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eastAsia" w:ascii="方正小标宋_GBK" w:hAnsi="方正小标宋_GBK" w:eastAsia="方正小标宋_GBK" w:cs="方正小标宋_GBK"/>
                <w:b w:val="0"/>
                <w:bCs w:val="0"/>
                <w:i w:val="0"/>
                <w:iCs w:val="0"/>
                <w:color w:val="000000"/>
                <w:kern w:val="0"/>
                <w:sz w:val="40"/>
                <w:szCs w:val="40"/>
                <w:u w:val="none"/>
                <w:lang w:val="en-US" w:eastAsia="zh-CN" w:bidi="ar"/>
              </w:rPr>
              <w:t>2025</w:t>
            </w:r>
            <w:r>
              <w:rPr>
                <w:rStyle w:val="13"/>
                <w:rFonts w:hint="eastAsia" w:ascii="方正小标宋_GBK" w:hAnsi="方正小标宋_GBK" w:eastAsia="方正小标宋_GBK" w:cs="方正小标宋_GBK"/>
                <w:b w:val="0"/>
                <w:bCs w:val="0"/>
                <w:sz w:val="40"/>
                <w:szCs w:val="40"/>
                <w:lang w:val="en-US" w:eastAsia="zh-CN" w:bidi="ar"/>
              </w:rPr>
              <w:t>年省级财政衔接推进乡村振兴补助资金（第四批）下达表</w:t>
            </w:r>
          </w:p>
        </w:tc>
      </w:tr>
      <w:tr w14:paraId="292C1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nil"/>
              <w:left w:val="nil"/>
              <w:bottom w:val="nil"/>
              <w:right w:val="nil"/>
            </w:tcBorders>
            <w:shd w:val="clear" w:color="auto" w:fill="auto"/>
            <w:noWrap/>
            <w:vAlign w:val="center"/>
          </w:tcPr>
          <w:p w14:paraId="73DDFB00">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1771" w:type="dxa"/>
            <w:tcBorders>
              <w:top w:val="nil"/>
              <w:left w:val="nil"/>
              <w:bottom w:val="nil"/>
              <w:right w:val="nil"/>
            </w:tcBorders>
            <w:shd w:val="clear" w:color="auto" w:fill="auto"/>
            <w:vAlign w:val="center"/>
          </w:tcPr>
          <w:p w14:paraId="648EE405">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1125" w:type="dxa"/>
            <w:tcBorders>
              <w:top w:val="nil"/>
              <w:left w:val="nil"/>
              <w:bottom w:val="nil"/>
              <w:right w:val="nil"/>
            </w:tcBorders>
            <w:shd w:val="clear" w:color="auto" w:fill="auto"/>
            <w:noWrap/>
            <w:vAlign w:val="center"/>
          </w:tcPr>
          <w:p w14:paraId="362CD8A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1845" w:type="dxa"/>
            <w:tcBorders>
              <w:top w:val="nil"/>
              <w:left w:val="nil"/>
              <w:bottom w:val="nil"/>
              <w:right w:val="nil"/>
            </w:tcBorders>
            <w:shd w:val="clear" w:color="auto" w:fill="auto"/>
            <w:noWrap/>
            <w:vAlign w:val="center"/>
          </w:tcPr>
          <w:p w14:paraId="1E0133AD">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1920" w:type="dxa"/>
            <w:tcBorders>
              <w:top w:val="nil"/>
              <w:left w:val="nil"/>
              <w:bottom w:val="nil"/>
              <w:right w:val="nil"/>
            </w:tcBorders>
            <w:shd w:val="clear" w:color="auto" w:fill="auto"/>
            <w:noWrap/>
            <w:vAlign w:val="center"/>
          </w:tcPr>
          <w:p w14:paraId="22509DE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2715" w:type="dxa"/>
            <w:tcBorders>
              <w:top w:val="nil"/>
              <w:left w:val="nil"/>
              <w:bottom w:val="nil"/>
              <w:right w:val="nil"/>
            </w:tcBorders>
            <w:shd w:val="clear" w:color="auto" w:fill="auto"/>
            <w:noWrap/>
            <w:vAlign w:val="center"/>
          </w:tcPr>
          <w:p w14:paraId="213CDED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2940" w:type="dxa"/>
            <w:tcBorders>
              <w:top w:val="nil"/>
              <w:left w:val="nil"/>
              <w:bottom w:val="nil"/>
              <w:right w:val="nil"/>
            </w:tcBorders>
            <w:shd w:val="clear" w:color="auto" w:fill="auto"/>
            <w:noWrap/>
            <w:vAlign w:val="center"/>
          </w:tcPr>
          <w:p w14:paraId="7E831E70">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4"/>
                <w:szCs w:val="24"/>
                <w:u w:val="none"/>
              </w:rPr>
            </w:pPr>
          </w:p>
        </w:tc>
        <w:tc>
          <w:tcPr>
            <w:tcW w:w="1800" w:type="dxa"/>
            <w:tcBorders>
              <w:top w:val="nil"/>
              <w:left w:val="nil"/>
              <w:bottom w:val="nil"/>
              <w:right w:val="nil"/>
            </w:tcBorders>
            <w:shd w:val="clear" w:color="auto" w:fill="auto"/>
            <w:noWrap/>
            <w:vAlign w:val="center"/>
          </w:tcPr>
          <w:p w14:paraId="2EEF1AA4">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单位：万元</w:t>
            </w:r>
          </w:p>
        </w:tc>
      </w:tr>
      <w:tr w14:paraId="07A2A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68477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序号</w:t>
            </w:r>
          </w:p>
        </w:tc>
        <w:tc>
          <w:tcPr>
            <w:tcW w:w="17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A37E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地区</w:t>
            </w:r>
          </w:p>
        </w:tc>
        <w:tc>
          <w:tcPr>
            <w:tcW w:w="1234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397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巩固拓展脱贫攻坚成果和乡村振兴任务</w:t>
            </w:r>
          </w:p>
        </w:tc>
      </w:tr>
      <w:tr w14:paraId="5BCE8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EC060">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b/>
                <w:bCs/>
                <w:i w:val="0"/>
                <w:iCs w:val="0"/>
                <w:color w:val="000000"/>
                <w:sz w:val="24"/>
                <w:szCs w:val="24"/>
                <w:u w:val="none"/>
              </w:rPr>
            </w:pPr>
          </w:p>
        </w:tc>
        <w:tc>
          <w:tcPr>
            <w:tcW w:w="17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4EB5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b/>
                <w:bCs/>
                <w:i w:val="0"/>
                <w:iCs w:val="0"/>
                <w:color w:val="000000"/>
                <w:sz w:val="24"/>
                <w:szCs w:val="24"/>
                <w:u w:val="none"/>
              </w:rPr>
            </w:pP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97AB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金额</w:t>
            </w:r>
          </w:p>
        </w:tc>
        <w:tc>
          <w:tcPr>
            <w:tcW w:w="112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6E60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其中：</w:t>
            </w:r>
          </w:p>
        </w:tc>
      </w:tr>
      <w:tr w14:paraId="57EAC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6F4F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b/>
                <w:bCs/>
                <w:i w:val="0"/>
                <w:iCs w:val="0"/>
                <w:color w:val="000000"/>
                <w:sz w:val="24"/>
                <w:szCs w:val="24"/>
                <w:u w:val="none"/>
              </w:rPr>
            </w:pPr>
          </w:p>
        </w:tc>
        <w:tc>
          <w:tcPr>
            <w:tcW w:w="17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ED359">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b/>
                <w:bCs/>
                <w:i w:val="0"/>
                <w:iCs w:val="0"/>
                <w:color w:val="000000"/>
                <w:sz w:val="24"/>
                <w:szCs w:val="24"/>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B4511">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b/>
                <w:bCs/>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0D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支出进度因素分配</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182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15"/>
                <w:sz w:val="24"/>
                <w:szCs w:val="24"/>
                <w:lang w:val="en-US" w:eastAsia="zh-CN" w:bidi="ar"/>
              </w:rPr>
            </w:pPr>
            <w:r>
              <w:rPr>
                <w:rStyle w:val="15"/>
                <w:sz w:val="24"/>
                <w:szCs w:val="24"/>
                <w:lang w:val="en-US" w:eastAsia="zh-CN" w:bidi="ar"/>
              </w:rPr>
              <w:t>衔接资金产业</w:t>
            </w:r>
          </w:p>
          <w:p w14:paraId="3C236B9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绩效评价奖励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721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15"/>
                <w:sz w:val="24"/>
                <w:szCs w:val="24"/>
                <w:lang w:val="en-US" w:eastAsia="zh-CN" w:bidi="ar"/>
              </w:rPr>
            </w:pPr>
            <w:r>
              <w:rPr>
                <w:rStyle w:val="15"/>
                <w:sz w:val="24"/>
                <w:szCs w:val="24"/>
                <w:lang w:val="en-US" w:eastAsia="zh-CN" w:bidi="ar"/>
              </w:rPr>
              <w:t>新增或补充农担政担</w:t>
            </w:r>
          </w:p>
          <w:p w14:paraId="76904B5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风险分担机制出资奖励</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7D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15"/>
                <w:sz w:val="24"/>
                <w:szCs w:val="24"/>
                <w:lang w:val="en-US" w:eastAsia="zh-CN" w:bidi="ar"/>
              </w:rPr>
            </w:pPr>
            <w:r>
              <w:rPr>
                <w:rStyle w:val="15"/>
                <w:sz w:val="24"/>
                <w:szCs w:val="24"/>
                <w:lang w:val="en-US" w:eastAsia="zh-CN" w:bidi="ar"/>
              </w:rPr>
              <w:t>分任务分部门项目</w:t>
            </w:r>
          </w:p>
          <w:p w14:paraId="4D1B779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入库调度问题扣减</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CF8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受灾因素分配</w:t>
            </w:r>
          </w:p>
        </w:tc>
      </w:tr>
      <w:tr w14:paraId="6E528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CA0C8">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b/>
                <w:bCs/>
                <w:i w:val="0"/>
                <w:iCs w:val="0"/>
                <w:color w:val="000000"/>
                <w:sz w:val="24"/>
                <w:szCs w:val="24"/>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807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b/>
                <w:bCs/>
                <w:i w:val="0"/>
                <w:iCs w:val="0"/>
                <w:color w:val="000000"/>
                <w:sz w:val="24"/>
                <w:szCs w:val="24"/>
                <w:u w:val="none"/>
              </w:rPr>
            </w:pPr>
            <w:r>
              <w:rPr>
                <w:rStyle w:val="15"/>
                <w:sz w:val="24"/>
                <w:szCs w:val="24"/>
                <w:lang w:val="en-US" w:eastAsia="zh-CN" w:bidi="ar"/>
              </w:rPr>
              <w:t>玉溪市合计</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5A37E">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1481</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E3140">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1145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2FF10">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b/>
                <w:bCs/>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2E14">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100 </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243D6">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-200</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FEA18">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436 </w:t>
            </w:r>
          </w:p>
        </w:tc>
      </w:tr>
      <w:tr w14:paraId="785E0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519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042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红塔区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0DB6">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4362">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104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80322">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FE9E5">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1F2B5">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CA30D">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宋体" w:cs="Times New Roman"/>
                <w:i w:val="0"/>
                <w:iCs w:val="0"/>
                <w:color w:val="000000"/>
                <w:sz w:val="24"/>
                <w:szCs w:val="24"/>
                <w:u w:val="none"/>
              </w:rPr>
            </w:pPr>
          </w:p>
        </w:tc>
      </w:tr>
      <w:tr w14:paraId="2E25B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BD1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526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通海县</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CD8C">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105</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F48ED">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105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77BEE">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41BE">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47C5E">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0846">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宋体" w:cs="Times New Roman"/>
                <w:i w:val="0"/>
                <w:iCs w:val="0"/>
                <w:color w:val="000000"/>
                <w:sz w:val="24"/>
                <w:szCs w:val="24"/>
                <w:u w:val="none"/>
              </w:rPr>
            </w:pPr>
          </w:p>
        </w:tc>
      </w:tr>
      <w:tr w14:paraId="6ED8D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C4A4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0CC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江川区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76D5">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295</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49581">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117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E238F">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5A1E">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8C03">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C161E">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178 </w:t>
            </w:r>
          </w:p>
        </w:tc>
      </w:tr>
      <w:tr w14:paraId="60395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9E9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CEE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澄江市</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4F15E">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224</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61FF7">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124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2BB72">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61A08">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100 </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94964">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840C6">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宋体" w:cs="Times New Roman"/>
                <w:i w:val="0"/>
                <w:iCs w:val="0"/>
                <w:color w:val="000000"/>
                <w:sz w:val="24"/>
                <w:szCs w:val="24"/>
                <w:u w:val="none"/>
              </w:rPr>
            </w:pPr>
          </w:p>
        </w:tc>
      </w:tr>
      <w:tr w14:paraId="50C7C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2B8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8B3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华宁县</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1B48">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111</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FD3A6">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111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496C6">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39705">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519D">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C3C7">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宋体" w:cs="Times New Roman"/>
                <w:i w:val="0"/>
                <w:iCs w:val="0"/>
                <w:color w:val="000000"/>
                <w:sz w:val="24"/>
                <w:szCs w:val="24"/>
                <w:u w:val="none"/>
              </w:rPr>
            </w:pPr>
          </w:p>
        </w:tc>
      </w:tr>
      <w:tr w14:paraId="132F8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E766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A8C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易门县</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4853">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B7EF1">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121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4785A">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A50C3">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548E1">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EFC8">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128 </w:t>
            </w:r>
          </w:p>
        </w:tc>
      </w:tr>
      <w:tr w14:paraId="75935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AF33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D6A8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峨山县</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4B10F">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256</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7390">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127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E6AED">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BAB76">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0F893">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58FF4">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129 </w:t>
            </w:r>
          </w:p>
        </w:tc>
      </w:tr>
      <w:tr w14:paraId="39CD8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442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43E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新平县</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A4679">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49B4">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145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A7791">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0FFA5">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1458">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BE7F7">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宋体" w:cs="Times New Roman"/>
                <w:i w:val="0"/>
                <w:iCs w:val="0"/>
                <w:color w:val="000000"/>
                <w:sz w:val="24"/>
                <w:szCs w:val="24"/>
                <w:u w:val="none"/>
              </w:rPr>
            </w:pPr>
          </w:p>
        </w:tc>
      </w:tr>
      <w:tr w14:paraId="72714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3E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39B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i w:val="0"/>
                <w:iCs w:val="0"/>
                <w:color w:val="000000"/>
                <w:sz w:val="24"/>
                <w:szCs w:val="24"/>
                <w:u w:val="none"/>
              </w:rPr>
            </w:pPr>
            <w:r>
              <w:rPr>
                <w:rStyle w:val="14"/>
                <w:sz w:val="24"/>
                <w:szCs w:val="24"/>
                <w:lang w:val="en-US" w:eastAsia="zh-CN" w:bidi="ar"/>
              </w:rPr>
              <w:t>元江县</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56D7A">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191</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C5461">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191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D697F">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9E8AE">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57B8F">
            <w:pPr>
              <w:keepNext w:val="0"/>
              <w:keepLines w:val="0"/>
              <w:pageBreakBefore w:val="0"/>
              <w:widowControl/>
              <w:kinsoku/>
              <w:wordWrap/>
              <w:overflowPunct/>
              <w:topLinePunct w:val="0"/>
              <w:autoSpaceDE/>
              <w:autoSpaceDN/>
              <w:bidi w:val="0"/>
              <w:adjustRightInd/>
              <w:snapToGrid/>
              <w:spacing w:line="400" w:lineRule="exact"/>
              <w:rPr>
                <w:rFonts w:hint="default" w:ascii="Times New Roman" w:hAnsi="Times New Roman" w:eastAsia="宋体" w:cs="Times New Roman"/>
                <w:i w:val="0"/>
                <w:iCs w:val="0"/>
                <w:color w:val="000000"/>
                <w:sz w:val="24"/>
                <w:szCs w:val="24"/>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71203">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宋体" w:cs="Times New Roman"/>
                <w:i w:val="0"/>
                <w:iCs w:val="0"/>
                <w:color w:val="000000"/>
                <w:sz w:val="24"/>
                <w:szCs w:val="24"/>
                <w:u w:val="none"/>
              </w:rPr>
            </w:pPr>
          </w:p>
        </w:tc>
      </w:tr>
    </w:tbl>
    <w:p w14:paraId="6083AF6E">
      <w:pPr>
        <w:pStyle w:val="2"/>
        <w:ind w:left="0" w:leftChars="0" w:firstLine="0" w:firstLineChars="0"/>
      </w:pPr>
    </w:p>
    <w:p w14:paraId="0313B59B"/>
    <w:p w14:paraId="4A3FF6B6">
      <w:pPr>
        <w:pStyle w:val="2"/>
      </w:pPr>
    </w:p>
    <w:p w14:paraId="03A968A9">
      <w:pPr>
        <w:rPr>
          <w:rFonts w:hint="default" w:ascii="Times New Roman" w:hAnsi="Times New Roman" w:eastAsia="方正黑体_GBK" w:cs="Times New Roman"/>
          <w:sz w:val="32"/>
          <w:szCs w:val="36"/>
          <w:lang w:val="en-US" w:eastAsia="zh-CN"/>
        </w:rPr>
      </w:pPr>
      <w:r>
        <w:rPr>
          <w:rFonts w:hint="default" w:ascii="Times New Roman" w:hAnsi="Times New Roman" w:eastAsia="方正黑体_GBK" w:cs="Times New Roman"/>
          <w:sz w:val="32"/>
          <w:szCs w:val="36"/>
          <w:lang w:eastAsia="zh-CN"/>
        </w:rPr>
        <w:t>附件</w:t>
      </w:r>
      <w:r>
        <w:rPr>
          <w:rFonts w:hint="default" w:ascii="Times New Roman" w:hAnsi="Times New Roman" w:eastAsia="方正黑体_GBK" w:cs="Times New Roman"/>
          <w:sz w:val="32"/>
          <w:szCs w:val="36"/>
          <w:lang w:val="en-US" w:eastAsia="zh-CN"/>
        </w:rPr>
        <w:t>2</w:t>
      </w:r>
    </w:p>
    <w:tbl>
      <w:tblPr>
        <w:tblStyle w:val="5"/>
        <w:tblW w:w="146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8"/>
        <w:gridCol w:w="1376"/>
        <w:gridCol w:w="3543"/>
        <w:gridCol w:w="5220"/>
        <w:gridCol w:w="3555"/>
      </w:tblGrid>
      <w:tr w14:paraId="51BAD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4682" w:type="dxa"/>
            <w:gridSpan w:val="5"/>
            <w:tcBorders>
              <w:top w:val="nil"/>
              <w:left w:val="nil"/>
              <w:bottom w:val="nil"/>
              <w:right w:val="nil"/>
            </w:tcBorders>
            <w:shd w:val="clear" w:color="auto" w:fill="auto"/>
            <w:vAlign w:val="center"/>
          </w:tcPr>
          <w:p w14:paraId="7F165C12">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2025年省级财政衔接推进乡村振兴补助资金（第四批）绩效目标表</w:t>
            </w:r>
          </w:p>
        </w:tc>
      </w:tr>
      <w:tr w14:paraId="718CC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EE6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项目名称</w:t>
            </w:r>
          </w:p>
        </w:tc>
        <w:tc>
          <w:tcPr>
            <w:tcW w:w="1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45BC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省级财政衔接推进乡村振兴补助资金</w:t>
            </w:r>
          </w:p>
        </w:tc>
      </w:tr>
      <w:tr w14:paraId="0AFA8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4D8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州（市）主管部门</w:t>
            </w:r>
          </w:p>
        </w:tc>
        <w:tc>
          <w:tcPr>
            <w:tcW w:w="87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EF9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州（市）财政局</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0E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6"/>
                <w:rFonts w:hint="default" w:ascii="Times New Roman" w:hAnsi="Times New Roman" w:eastAsia="方正仿宋_GBK" w:cs="Times New Roman"/>
                <w:sz w:val="24"/>
                <w:szCs w:val="24"/>
                <w:lang w:val="en-US" w:eastAsia="zh-CN" w:bidi="ar"/>
              </w:rPr>
              <w:t>州（市）农业农村局</w:t>
            </w:r>
          </w:p>
        </w:tc>
      </w:tr>
      <w:tr w14:paraId="75570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45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县（市、区）主管部门</w:t>
            </w:r>
          </w:p>
        </w:tc>
        <w:tc>
          <w:tcPr>
            <w:tcW w:w="87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08C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县（市、区）财政局</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E2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6"/>
                <w:rFonts w:hint="default" w:ascii="Times New Roman" w:hAnsi="Times New Roman" w:eastAsia="方正仿宋_GBK" w:cs="Times New Roman"/>
                <w:sz w:val="24"/>
                <w:szCs w:val="24"/>
                <w:lang w:val="en-US" w:eastAsia="zh-CN" w:bidi="ar"/>
              </w:rPr>
              <w:t>县（市、区）农业农村局</w:t>
            </w:r>
          </w:p>
        </w:tc>
      </w:tr>
      <w:tr w14:paraId="7789C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5" w:hRule="atLeast"/>
        </w:trPr>
        <w:tc>
          <w:tcPr>
            <w:tcW w:w="988" w:type="dxa"/>
            <w:tcBorders>
              <w:top w:val="single" w:color="000000" w:sz="4" w:space="0"/>
              <w:left w:val="single" w:color="000000" w:sz="4" w:space="0"/>
              <w:bottom w:val="nil"/>
              <w:right w:val="single" w:color="000000" w:sz="4" w:space="0"/>
            </w:tcBorders>
            <w:shd w:val="clear" w:color="auto" w:fill="auto"/>
            <w:vAlign w:val="center"/>
          </w:tcPr>
          <w:p w14:paraId="2192D3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6"/>
                <w:rFonts w:hint="default" w:ascii="Times New Roman" w:hAnsi="Times New Roman" w:eastAsia="方正仿宋_GBK" w:cs="Times New Roman"/>
                <w:sz w:val="24"/>
                <w:szCs w:val="24"/>
                <w:lang w:val="en-US" w:eastAsia="zh-CN" w:bidi="ar"/>
              </w:rPr>
              <w:t>年度总体目标</w:t>
            </w:r>
          </w:p>
        </w:tc>
        <w:tc>
          <w:tcPr>
            <w:tcW w:w="13694" w:type="dxa"/>
            <w:gridSpan w:val="4"/>
            <w:tcBorders>
              <w:top w:val="single" w:color="000000" w:sz="4" w:space="0"/>
              <w:left w:val="single" w:color="000000" w:sz="4" w:space="0"/>
              <w:bottom w:val="nil"/>
              <w:right w:val="single" w:color="000000" w:sz="4" w:space="0"/>
            </w:tcBorders>
            <w:shd w:val="clear" w:color="auto" w:fill="auto"/>
            <w:vAlign w:val="center"/>
          </w:tcPr>
          <w:p w14:paraId="027193F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6"/>
                <w:rFonts w:hint="default" w:ascii="Times New Roman" w:hAnsi="Times New Roman" w:eastAsia="方正仿宋_GBK" w:cs="Times New Roman"/>
                <w:sz w:val="24"/>
                <w:szCs w:val="24"/>
                <w:lang w:val="en-US" w:eastAsia="zh-CN" w:bidi="ar"/>
              </w:rPr>
              <w:t>过渡期内在保持财政支持政策总体稳定的前提下，根据巩固拓展脱贫攻坚成果同乡村振兴有效衔接的需要和财力状况，合理安排财政投入规模，优化支出结构，调整支持重点。保留并调整优化原财政专项扶贫资金，聚焦支持脱贫地区巩固拓展脱贫攻坚成果和乡村振兴，适当向国家乡村振兴重点帮扶县倾斜，并保持用于产业发展的比例总体稳定，省级衔接资金用于产业的比例达到</w:t>
            </w:r>
            <w:r>
              <w:rPr>
                <w:rStyle w:val="17"/>
                <w:rFonts w:hint="default" w:ascii="Times New Roman" w:hAnsi="Times New Roman" w:eastAsia="方正仿宋_GBK" w:cs="Times New Roman"/>
                <w:lang w:val="en-US" w:eastAsia="zh-CN" w:bidi="ar"/>
              </w:rPr>
              <w:t>52%</w:t>
            </w:r>
            <w:r>
              <w:rPr>
                <w:rStyle w:val="16"/>
                <w:rFonts w:hint="default" w:ascii="Times New Roman" w:hAnsi="Times New Roman" w:eastAsia="方正仿宋_GBK" w:cs="Times New Roman"/>
                <w:sz w:val="24"/>
                <w:szCs w:val="24"/>
                <w:lang w:val="en-US" w:eastAsia="zh-CN" w:bidi="ar"/>
              </w:rPr>
              <w:t>；提高资金使用效率和效益，当年衔接资金支出进度目标</w:t>
            </w:r>
            <w:r>
              <w:rPr>
                <w:rStyle w:val="17"/>
                <w:rFonts w:hint="default" w:ascii="Times New Roman" w:hAnsi="Times New Roman" w:eastAsia="方正仿宋_GBK" w:cs="Times New Roman"/>
                <w:lang w:val="en-US" w:eastAsia="zh-CN" w:bidi="ar"/>
              </w:rPr>
              <w:t>100%</w:t>
            </w:r>
            <w:r>
              <w:rPr>
                <w:rStyle w:val="16"/>
                <w:rFonts w:hint="default" w:ascii="Times New Roman" w:hAnsi="Times New Roman" w:eastAsia="方正仿宋_GBK" w:cs="Times New Roman"/>
                <w:sz w:val="24"/>
                <w:szCs w:val="24"/>
                <w:lang w:val="en-US" w:eastAsia="zh-CN" w:bidi="ar"/>
              </w:rPr>
              <w:t>；提高项目资金透明度和公开效果；提升项目库建设水平；促进脱贫人口增收，脱贫地区农村居民人均可支配收入达到全省平均水平或者增速高于全省平均水平。</w:t>
            </w:r>
          </w:p>
        </w:tc>
      </w:tr>
      <w:tr w14:paraId="36490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FBD3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6"/>
                <w:rFonts w:hint="default" w:ascii="Times New Roman" w:hAnsi="Times New Roman" w:eastAsia="方正仿宋_GBK" w:cs="Times New Roman"/>
                <w:sz w:val="24"/>
                <w:szCs w:val="24"/>
                <w:lang w:val="en-US" w:eastAsia="zh-CN" w:bidi="ar"/>
              </w:rPr>
              <w:t>绩效</w:t>
            </w:r>
            <w:r>
              <w:rPr>
                <w:rStyle w:val="17"/>
                <w:rFonts w:hint="default" w:ascii="Times New Roman" w:hAnsi="Times New Roman" w:eastAsia="方正仿宋_GBK" w:cs="Times New Roman"/>
                <w:lang w:val="en-US" w:eastAsia="zh-CN" w:bidi="ar"/>
              </w:rPr>
              <w:br w:type="textWrapping"/>
            </w:r>
            <w:r>
              <w:rPr>
                <w:rStyle w:val="16"/>
                <w:rFonts w:hint="default" w:ascii="Times New Roman" w:hAnsi="Times New Roman" w:eastAsia="方正仿宋_GBK" w:cs="Times New Roman"/>
                <w:sz w:val="24"/>
                <w:szCs w:val="24"/>
                <w:lang w:val="en-US" w:eastAsia="zh-CN" w:bidi="ar"/>
              </w:rPr>
              <w:t>目标</w:t>
            </w:r>
            <w:r>
              <w:rPr>
                <w:rStyle w:val="17"/>
                <w:rFonts w:hint="default" w:ascii="Times New Roman" w:hAnsi="Times New Roman" w:eastAsia="方正仿宋_GBK" w:cs="Times New Roman"/>
                <w:lang w:val="en-US" w:eastAsia="zh-CN" w:bidi="ar"/>
              </w:rPr>
              <w:t xml:space="preserve">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8F9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8"/>
                <w:rFonts w:hint="default" w:ascii="Times New Roman" w:hAnsi="Times New Roman" w:eastAsia="方正仿宋_GBK" w:cs="Times New Roman"/>
                <w:lang w:val="en-US" w:eastAsia="zh-CN" w:bidi="ar"/>
              </w:rPr>
              <w:t>一级指标</w:t>
            </w: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A7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8"/>
                <w:rFonts w:hint="default" w:ascii="Times New Roman" w:hAnsi="Times New Roman" w:eastAsia="方正仿宋_GBK" w:cs="Times New Roman"/>
                <w:lang w:val="en-US" w:eastAsia="zh-CN" w:bidi="ar"/>
              </w:rPr>
              <w:t>二级指标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42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8"/>
                <w:rFonts w:hint="default" w:ascii="Times New Roman" w:hAnsi="Times New Roman" w:eastAsia="方正仿宋_GBK" w:cs="Times New Roman"/>
                <w:lang w:val="en-US" w:eastAsia="zh-CN" w:bidi="ar"/>
              </w:rPr>
              <w:t>三级指标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B9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Style w:val="16"/>
                <w:rFonts w:hint="default" w:ascii="Times New Roman" w:hAnsi="Times New Roman" w:eastAsia="方正仿宋_GBK" w:cs="Times New Roman"/>
                <w:sz w:val="24"/>
                <w:szCs w:val="24"/>
                <w:lang w:val="en-US" w:eastAsia="zh-CN" w:bidi="ar"/>
              </w:rPr>
              <w:t>指标内容</w:t>
            </w:r>
          </w:p>
        </w:tc>
      </w:tr>
      <w:tr w14:paraId="06A04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CCE59">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E11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产出指标</w:t>
            </w: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B0F5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数量指标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BB8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产业资金投入率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52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&gt;=52%</w:t>
            </w:r>
          </w:p>
        </w:tc>
      </w:tr>
      <w:tr w14:paraId="24981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86D35">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6D7A2">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0F9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数量指标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A0A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资金支出率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719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7C7E7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092EE">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2CD713">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67FE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质量指标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CD98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项目资金公告公示率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46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54580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AA1E4">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6B305">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CC4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质量指标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CCA5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完工项目验收合格率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AE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7B1FC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5FE24">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88A1C">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C6C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时效指标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AAA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项目开工率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2C9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79491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D8CBE">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9E76C">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2E2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时效指标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264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项目完工率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A88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02507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310CC">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221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效益指标</w:t>
            </w: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53C6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经济效益指标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F1F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脱贫地区农村居民人均可支配收入增幅</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C0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&gt;=O%</w:t>
            </w:r>
          </w:p>
        </w:tc>
      </w:tr>
      <w:tr w14:paraId="33C91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C3BCE">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26CBD">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B220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社会效益指标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CD0A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防返贫监测对象覆盖率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12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5080B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94CCE">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43AB2">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822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社会效益指标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B57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风险消除人口帮扶措施覆盖率</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D36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=100%</w:t>
            </w:r>
          </w:p>
        </w:tc>
      </w:tr>
      <w:tr w14:paraId="05D23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3BE20">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F3908">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536A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社会效益指标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8A4B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无规模性返贫</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74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无</w:t>
            </w:r>
          </w:p>
        </w:tc>
      </w:tr>
      <w:tr w14:paraId="4B774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28FD0">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i w:val="0"/>
                <w:iCs w:val="0"/>
                <w:color w:val="000000"/>
                <w:sz w:val="20"/>
                <w:szCs w:val="20"/>
                <w:u w:val="none"/>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B80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满意度指标</w:t>
            </w:r>
          </w:p>
        </w:tc>
        <w:tc>
          <w:tcPr>
            <w:tcW w:w="3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AAF2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服务对象满意度指标</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72EC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0"/>
                <w:szCs w:val="20"/>
                <w:u w:val="none"/>
              </w:rPr>
            </w:pPr>
            <w:r>
              <w:rPr>
                <w:rStyle w:val="19"/>
                <w:rFonts w:hint="default" w:ascii="Times New Roman" w:hAnsi="Times New Roman" w:eastAsia="方正仿宋_GBK" w:cs="Times New Roman"/>
                <w:lang w:val="en-US" w:eastAsia="zh-CN" w:bidi="ar"/>
              </w:rPr>
              <w:t>帮扶工作群众满意度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FA3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&gt;=90%</w:t>
            </w:r>
          </w:p>
        </w:tc>
      </w:tr>
    </w:tbl>
    <w:p w14:paraId="352CC9B3">
      <w:pPr>
        <w:pStyle w:val="2"/>
      </w:pPr>
    </w:p>
    <w:p w14:paraId="6E43D6B6">
      <w:pPr>
        <w:sectPr>
          <w:footerReference r:id="rId5" w:type="default"/>
          <w:pgSz w:w="16838" w:h="11906" w:orient="landscape"/>
          <w:pgMar w:top="1440" w:right="1080" w:bottom="1440" w:left="1080" w:header="851" w:footer="992" w:gutter="0"/>
          <w:pgNumType w:fmt="decimal"/>
          <w:cols w:space="0" w:num="1"/>
          <w:docGrid w:type="linesAndChars" w:linePitch="312" w:charSpace="0"/>
        </w:sectPr>
      </w:pPr>
    </w:p>
    <w:p w14:paraId="296A3998">
      <w:pPr>
        <w:pStyle w:val="2"/>
        <w:ind w:left="0" w:leftChars="0" w:firstLine="0" w:firstLineChars="0"/>
      </w:pPr>
    </w:p>
    <w:p w14:paraId="7FF499FD">
      <w:pPr>
        <w:pStyle w:val="2"/>
        <w:rPr>
          <w:rFonts w:ascii="Times New Roman" w:hAnsi="Times New Roman" w:eastAsia="仿宋_GB2312"/>
          <w:sz w:val="28"/>
          <w:szCs w:val="28"/>
        </w:rPr>
      </w:pPr>
    </w:p>
    <w:p w14:paraId="6BF96235">
      <w:pPr>
        <w:pStyle w:val="2"/>
        <w:rPr>
          <w:rFonts w:ascii="Times New Roman" w:hAnsi="Times New Roman" w:eastAsia="仿宋_GB2312"/>
          <w:sz w:val="28"/>
          <w:szCs w:val="28"/>
        </w:rPr>
      </w:pPr>
    </w:p>
    <w:p w14:paraId="35E9F7DD">
      <w:pPr>
        <w:pStyle w:val="2"/>
        <w:ind w:left="0" w:leftChars="0" w:firstLine="0" w:firstLineChars="0"/>
        <w:rPr>
          <w:rFonts w:ascii="Times New Roman" w:hAnsi="Times New Roman" w:eastAsia="仿宋_GB2312"/>
          <w:sz w:val="28"/>
          <w:szCs w:val="28"/>
        </w:rPr>
      </w:pPr>
    </w:p>
    <w:p w14:paraId="074503B9">
      <w:pPr>
        <w:spacing w:line="300" w:lineRule="exact"/>
        <w:jc w:val="left"/>
        <w:rPr>
          <w:rFonts w:ascii="Times New Roman" w:hAnsi="Times New Roman" w:eastAsia="仿宋_GB2312"/>
          <w:sz w:val="28"/>
          <w:szCs w:val="28"/>
        </w:rPr>
      </w:pPr>
    </w:p>
    <w:p w14:paraId="411A9609">
      <w:pPr>
        <w:spacing w:line="300" w:lineRule="exact"/>
        <w:jc w:val="left"/>
        <w:rPr>
          <w:rFonts w:ascii="Times New Roman" w:hAnsi="Times New Roman" w:eastAsia="仿宋_GB2312"/>
          <w:sz w:val="28"/>
          <w:szCs w:val="28"/>
        </w:rPr>
      </w:pPr>
    </w:p>
    <w:p w14:paraId="7628C00E">
      <w:pPr>
        <w:pStyle w:val="2"/>
        <w:ind w:left="0" w:leftChars="0" w:firstLine="0" w:firstLineChars="0"/>
      </w:pPr>
    </w:p>
    <w:p w14:paraId="465A5861">
      <w:pPr>
        <w:spacing w:line="300" w:lineRule="exact"/>
        <w:jc w:val="left"/>
        <w:rPr>
          <w:rFonts w:ascii="Times New Roman" w:hAnsi="Times New Roman" w:eastAsia="仿宋_GB2312"/>
          <w:sz w:val="28"/>
          <w:szCs w:val="28"/>
        </w:rPr>
      </w:pPr>
    </w:p>
    <w:p w14:paraId="6CEE1273">
      <w:pPr>
        <w:spacing w:line="300" w:lineRule="exact"/>
        <w:jc w:val="left"/>
        <w:rPr>
          <w:rFonts w:ascii="Times New Roman" w:hAnsi="Times New Roman" w:eastAsia="仿宋_GB2312"/>
          <w:sz w:val="28"/>
          <w:szCs w:val="28"/>
        </w:rPr>
      </w:pPr>
    </w:p>
    <w:p w14:paraId="0FAE1DF9">
      <w:pPr>
        <w:spacing w:line="300" w:lineRule="exact"/>
        <w:jc w:val="left"/>
        <w:rPr>
          <w:rFonts w:ascii="Times New Roman" w:hAnsi="Times New Roman" w:eastAsia="仿宋_GB2312"/>
          <w:sz w:val="28"/>
          <w:szCs w:val="28"/>
        </w:rPr>
      </w:pPr>
    </w:p>
    <w:p w14:paraId="0F48828C">
      <w:pPr>
        <w:spacing w:line="300" w:lineRule="exact"/>
        <w:jc w:val="left"/>
        <w:rPr>
          <w:rFonts w:ascii="Times New Roman" w:hAnsi="Times New Roman" w:eastAsia="仿宋_GB2312"/>
          <w:sz w:val="28"/>
          <w:szCs w:val="28"/>
        </w:rPr>
      </w:pPr>
    </w:p>
    <w:p w14:paraId="190F8EE6">
      <w:pPr>
        <w:spacing w:line="300" w:lineRule="exact"/>
        <w:jc w:val="left"/>
        <w:rPr>
          <w:rFonts w:ascii="Times New Roman" w:hAnsi="Times New Roman" w:eastAsia="仿宋_GB2312"/>
          <w:sz w:val="28"/>
          <w:szCs w:val="28"/>
        </w:rPr>
      </w:pPr>
    </w:p>
    <w:p w14:paraId="5E66E6AE">
      <w:pPr>
        <w:spacing w:line="300" w:lineRule="exact"/>
        <w:jc w:val="left"/>
        <w:rPr>
          <w:rFonts w:ascii="Times New Roman" w:hAnsi="Times New Roman" w:eastAsia="仿宋_GB2312"/>
          <w:sz w:val="28"/>
          <w:szCs w:val="28"/>
        </w:rPr>
      </w:pPr>
    </w:p>
    <w:p w14:paraId="0747C2C4">
      <w:pPr>
        <w:spacing w:line="300" w:lineRule="exact"/>
        <w:jc w:val="left"/>
        <w:rPr>
          <w:rFonts w:ascii="Times New Roman" w:hAnsi="Times New Roman" w:eastAsia="仿宋_GB2312"/>
          <w:sz w:val="28"/>
          <w:szCs w:val="28"/>
        </w:rPr>
      </w:pPr>
    </w:p>
    <w:p w14:paraId="79FE912A">
      <w:pPr>
        <w:spacing w:line="300" w:lineRule="exact"/>
        <w:jc w:val="left"/>
        <w:rPr>
          <w:rFonts w:ascii="Times New Roman" w:hAnsi="Times New Roman" w:eastAsia="仿宋_GB2312"/>
          <w:sz w:val="28"/>
          <w:szCs w:val="28"/>
        </w:rPr>
      </w:pPr>
    </w:p>
    <w:p w14:paraId="6340B21A">
      <w:pPr>
        <w:spacing w:line="300" w:lineRule="exact"/>
        <w:jc w:val="left"/>
        <w:rPr>
          <w:rFonts w:ascii="Times New Roman" w:hAnsi="Times New Roman" w:eastAsia="仿宋_GB2312"/>
          <w:sz w:val="28"/>
          <w:szCs w:val="28"/>
        </w:rPr>
      </w:pPr>
    </w:p>
    <w:p w14:paraId="0E712ACA">
      <w:pPr>
        <w:spacing w:line="300" w:lineRule="exact"/>
        <w:jc w:val="left"/>
        <w:rPr>
          <w:rFonts w:ascii="Times New Roman" w:hAnsi="Times New Roman" w:eastAsia="仿宋_GB2312"/>
          <w:sz w:val="28"/>
          <w:szCs w:val="28"/>
        </w:rPr>
      </w:pPr>
    </w:p>
    <w:p w14:paraId="1B7E7434">
      <w:pPr>
        <w:spacing w:line="300" w:lineRule="exact"/>
        <w:jc w:val="left"/>
        <w:rPr>
          <w:rFonts w:ascii="Times New Roman" w:hAnsi="Times New Roman" w:eastAsia="仿宋_GB2312"/>
          <w:sz w:val="28"/>
          <w:szCs w:val="28"/>
        </w:rPr>
      </w:pPr>
    </w:p>
    <w:p w14:paraId="33CC832F">
      <w:pPr>
        <w:spacing w:line="300" w:lineRule="exact"/>
        <w:jc w:val="left"/>
        <w:rPr>
          <w:rFonts w:ascii="Times New Roman" w:hAnsi="Times New Roman" w:eastAsia="仿宋_GB2312"/>
          <w:sz w:val="28"/>
          <w:szCs w:val="28"/>
        </w:rPr>
      </w:pPr>
    </w:p>
    <w:p w14:paraId="026D25E4">
      <w:pPr>
        <w:spacing w:line="300" w:lineRule="exact"/>
        <w:jc w:val="left"/>
        <w:rPr>
          <w:rFonts w:ascii="Times New Roman" w:hAnsi="Times New Roman" w:eastAsia="仿宋_GB2312"/>
          <w:sz w:val="28"/>
          <w:szCs w:val="28"/>
        </w:rPr>
      </w:pPr>
    </w:p>
    <w:p w14:paraId="60132520">
      <w:pPr>
        <w:spacing w:line="300" w:lineRule="exact"/>
        <w:jc w:val="left"/>
        <w:rPr>
          <w:rFonts w:ascii="Times New Roman" w:hAnsi="Times New Roman" w:eastAsia="仿宋_GB2312"/>
          <w:sz w:val="28"/>
          <w:szCs w:val="28"/>
        </w:rPr>
      </w:pPr>
    </w:p>
    <w:p w14:paraId="32D2FB13">
      <w:pPr>
        <w:spacing w:line="300" w:lineRule="exact"/>
        <w:jc w:val="left"/>
        <w:rPr>
          <w:rFonts w:ascii="Times New Roman" w:hAnsi="Times New Roman" w:eastAsia="仿宋_GB2312"/>
          <w:sz w:val="28"/>
          <w:szCs w:val="28"/>
        </w:rPr>
      </w:pPr>
    </w:p>
    <w:p w14:paraId="719B3FEE">
      <w:pPr>
        <w:spacing w:line="300" w:lineRule="exact"/>
        <w:jc w:val="left"/>
        <w:rPr>
          <w:rFonts w:ascii="Times New Roman" w:hAnsi="Times New Roman" w:eastAsia="仿宋_GB2312"/>
          <w:sz w:val="28"/>
          <w:szCs w:val="28"/>
        </w:rPr>
      </w:pPr>
    </w:p>
    <w:p w14:paraId="6AF7AB5C">
      <w:pPr>
        <w:spacing w:line="300" w:lineRule="exact"/>
        <w:jc w:val="left"/>
        <w:rPr>
          <w:rFonts w:ascii="Times New Roman" w:hAnsi="Times New Roman" w:eastAsia="仿宋_GB2312"/>
          <w:sz w:val="28"/>
          <w:szCs w:val="28"/>
        </w:rPr>
      </w:pPr>
    </w:p>
    <w:p w14:paraId="12DB307D">
      <w:pPr>
        <w:spacing w:line="300" w:lineRule="exact"/>
        <w:jc w:val="left"/>
        <w:rPr>
          <w:rFonts w:ascii="Times New Roman" w:hAnsi="Times New Roman" w:eastAsia="仿宋_GB2312"/>
          <w:sz w:val="28"/>
          <w:szCs w:val="28"/>
        </w:rPr>
      </w:pPr>
    </w:p>
    <w:p w14:paraId="59CE3405">
      <w:pPr>
        <w:spacing w:line="300" w:lineRule="exact"/>
        <w:jc w:val="left"/>
        <w:rPr>
          <w:rFonts w:ascii="Times New Roman" w:hAnsi="Times New Roman" w:eastAsia="仿宋_GB2312"/>
          <w:sz w:val="28"/>
          <w:szCs w:val="28"/>
        </w:rPr>
      </w:pPr>
    </w:p>
    <w:p w14:paraId="32D4E352">
      <w:pPr>
        <w:spacing w:line="300" w:lineRule="exact"/>
        <w:jc w:val="left"/>
        <w:rPr>
          <w:rFonts w:ascii="Times New Roman" w:hAnsi="Times New Roman" w:eastAsia="仿宋_GB2312"/>
          <w:sz w:val="28"/>
          <w:szCs w:val="28"/>
        </w:rPr>
      </w:pPr>
    </w:p>
    <w:p w14:paraId="49726114">
      <w:pPr>
        <w:spacing w:line="300" w:lineRule="exact"/>
        <w:jc w:val="left"/>
        <w:rPr>
          <w:rFonts w:ascii="Times New Roman" w:hAnsi="Times New Roman" w:eastAsia="仿宋_GB2312"/>
          <w:sz w:val="28"/>
          <w:szCs w:val="28"/>
        </w:rPr>
      </w:pPr>
    </w:p>
    <w:p w14:paraId="204DF834">
      <w:pPr>
        <w:spacing w:line="300" w:lineRule="exact"/>
        <w:jc w:val="left"/>
        <w:rPr>
          <w:rFonts w:ascii="Times New Roman" w:hAnsi="Times New Roman" w:eastAsia="仿宋_GB2312"/>
          <w:sz w:val="28"/>
          <w:szCs w:val="28"/>
        </w:rPr>
      </w:pPr>
    </w:p>
    <w:p w14:paraId="6F54DDA3">
      <w:pPr>
        <w:spacing w:line="300" w:lineRule="exact"/>
        <w:jc w:val="left"/>
        <w:rPr>
          <w:rFonts w:ascii="Times New Roman" w:hAnsi="Times New Roman" w:eastAsia="仿宋_GB2312"/>
          <w:sz w:val="28"/>
          <w:szCs w:val="28"/>
        </w:rPr>
      </w:pPr>
    </w:p>
    <w:p w14:paraId="090582E7">
      <w:pPr>
        <w:pStyle w:val="2"/>
        <w:ind w:left="0" w:leftChars="0" w:firstLine="0" w:firstLineChars="0"/>
      </w:pPr>
    </w:p>
    <w:p w14:paraId="6907317F">
      <w:pPr>
        <w:spacing w:line="300" w:lineRule="exact"/>
        <w:jc w:val="left"/>
        <w:rPr>
          <w:rFonts w:ascii="Times New Roman" w:hAnsi="Times New Roman" w:eastAsia="仿宋_GB2312"/>
          <w:sz w:val="28"/>
          <w:szCs w:val="28"/>
        </w:rPr>
      </w:pPr>
    </w:p>
    <w:p w14:paraId="7E71BD1B">
      <w:pPr>
        <w:pStyle w:val="2"/>
        <w:ind w:left="0" w:leftChars="0" w:firstLine="0" w:firstLineChars="0"/>
      </w:pPr>
    </w:p>
    <w:p w14:paraId="547C1A8A">
      <w:pPr>
        <w:spacing w:line="500" w:lineRule="exact"/>
        <w:ind w:firstLine="280" w:firstLineChars="100"/>
        <w:jc w:val="left"/>
        <w:rPr>
          <w:rFonts w:ascii="Times New Roman" w:hAnsi="Times New Roman" w:eastAsia="方正仿宋_GBK"/>
          <w:sz w:val="32"/>
          <w:szCs w:val="32"/>
        </w:rPr>
      </w:pPr>
      <w:r>
        <w:rPr>
          <w:rFonts w:ascii="Times New Roman" w:hAnsi="Times New Roman" w:eastAsia="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43815</wp:posOffset>
                </wp:positionH>
                <wp:positionV relativeFrom="paragraph">
                  <wp:posOffset>2540</wp:posOffset>
                </wp:positionV>
                <wp:extent cx="561594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635"/>
                        </a:xfrm>
                        <a:prstGeom prst="line">
                          <a:avLst/>
                        </a:prstGeom>
                        <a:ln w="4444"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45pt;margin-top:0.2pt;height:0.05pt;width:442.2pt;z-index:251662336;mso-width-relative:page;mso-height-relative:page;" filled="f" stroked="t" coordsize="21600,21600" o:gfxdata="UEsDBAoAAAAAAIdO4kAAAAAAAAAAAAAAAAAEAAAAZHJzL1BLAwQUAAAACACHTuJAb9SmRNMAAAAD&#10;AQAADwAAAGRycy9kb3ducmV2LnhtbE2OTU/DMBBE70j8B2uRuFEnJa3SkE0PCCqOtFAJbttkSSLi&#10;dWS7X/x6zKkcRzN688rlyQzqwM73VhDSSQKKpbZNLy3C+9vzXQ7KB5KGBiuMcGYPy+r6qqSisUdZ&#10;82ETWhUh4gtC6EIYC6193bEhP7EjS+y+rDMUYnStbhwdI9wMepokc22ol/jQ0ciPHdffm71B2OaZ&#10;oxVvn36EsvPr6vNjtp6+IN7epMkDqMCncBnDn35Uhyo67exeGq8GhPkiDhEyULHMF+k9qB3CDHRV&#10;6v/u1S9QSwMEFAAAAAgAh07iQO+NN77rAQAA2gMAAA4AAABkcnMvZTJvRG9jLnhtbK1TS44TMRDd&#10;I3EHy3vSyZBETCudWUwYNggiwRygYrvTlvyTy5NOLsEFkNjBiiV7bsNwDMrukIFhkwW9cJfr81zv&#10;uby42lvDdiqi9q7hk9GYM+WEl9ptG377/ubZC84wgZNgvFMNPyjkV8unTxZ9qNWF77yRKjICcVj3&#10;oeFdSqGuKhSdsoAjH5SjYOujhUTbuK1khJ7QrakuxuN51fsoQ/RCIZJ3NQT5ETGeA+jbVgu18uLO&#10;KpcG1KgMJKKEnQ7Il6XbtlUivW1bVImZhhPTVFY6hOxNXqvlAupthNBpcWwBzmnhEScL2tGhJ6gV&#10;JGB3Uf8DZbWIHn2bRsLbaiBSFCEWk/Ejbd51EFThQlJjOImO/w9WvNmtI9Oy4VPOHFi68PuP3358&#10;+Pzz+yda779+YdMsUh+wptxrt47HHYZ1zIz3bbT5T1zYvgh7OAmr9okJcs7mk9nllDQXFJs/n2XE&#10;6qE0REyvlLcsGw032mXWUMPuNaYh9XdKdhvHeuqXPgIEGsGWrp5MG4gGum2pRW+0vNHG5AqM2821&#10;iWwHeQzKd2zhr7R8yAqwG/JKKKdB3SmQL51k6RBIIEfvgucWrJKcGUXPKFslM4E252QSe+NIhKzr&#10;oGS2Nl4eisDFT1deZDqOZ56pP/el+uFJ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9SmRNMA&#10;AAADAQAADwAAAAAAAAABACAAAAAiAAAAZHJzL2Rvd25yZXYueG1sUEsBAhQAFAAAAAgAh07iQO+N&#10;N77rAQAA2gMAAA4AAAAAAAAAAQAgAAAAIgEAAGRycy9lMm9Eb2MueG1sUEsFBgAAAAAGAAYAWQEA&#10;AH8FAAAAAA==&#10;">
                <v:fill on="f" focussize="0,0"/>
                <v:stroke weight="0.34992125984252pt" color="#000000" joinstyle="round"/>
                <v:imagedata o:title=""/>
                <o:lock v:ext="edit" aspectratio="f"/>
              </v:line>
            </w:pict>
          </mc:Fallback>
        </mc:AlternateContent>
      </w:r>
      <w:r>
        <w:rPr>
          <w:rFonts w:ascii="Times New Roman" w:hAnsi="Times New Roman" w:eastAsia="方正仿宋_GBK"/>
          <w:sz w:val="28"/>
          <w:szCs w:val="28"/>
        </w:rPr>
        <w:t>抄送：</w:t>
      </w:r>
      <w:r>
        <w:rPr>
          <w:rFonts w:hint="eastAsia" w:ascii="Times New Roman" w:hAnsi="Times New Roman" w:eastAsia="方正仿宋_GBK"/>
          <w:sz w:val="28"/>
          <w:szCs w:val="28"/>
          <w:lang w:eastAsia="zh-CN"/>
        </w:rPr>
        <w:t>市农业农村局，</w:t>
      </w:r>
      <w:r>
        <w:rPr>
          <w:rFonts w:ascii="Times New Roman" w:hAnsi="Times New Roman" w:eastAsia="方正仿宋_GBK"/>
          <w:sz w:val="28"/>
          <w:szCs w:val="28"/>
        </w:rPr>
        <w:t>市审计局，本局预算科、国库科。</w:t>
      </w:r>
    </w:p>
    <w:p w14:paraId="79464C28">
      <w:pPr>
        <w:spacing w:line="520" w:lineRule="exact"/>
        <w:ind w:firstLine="280" w:firstLineChars="100"/>
        <w:rPr>
          <w:rFonts w:ascii="Times New Roman" w:hAnsi="Times New Roman" w:eastAsia="方正仿宋_GBK"/>
          <w:sz w:val="28"/>
          <w:szCs w:val="28"/>
        </w:rPr>
      </w:pPr>
      <w:r>
        <w:rPr>
          <w:rFonts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37465</wp:posOffset>
                </wp:positionH>
                <wp:positionV relativeFrom="paragraph">
                  <wp:posOffset>358140</wp:posOffset>
                </wp:positionV>
                <wp:extent cx="566801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6801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5pt;margin-top:28.2pt;height:0pt;width:446.3pt;z-index:251661312;mso-width-relative:page;mso-height-relative:page;" filled="f" stroked="t" coordsize="21600,21600" o:gfxdata="UEsDBAoAAAAAAIdO4kAAAAAAAAAAAAAAAAAEAAAAZHJzL1BLAwQUAAAACACHTuJAkqTQAtUAAAAH&#10;AQAADwAAAGRycy9kb3ducmV2LnhtbE2OzU7DMBCE70i8g7VIXCpqt9AqDXF6AHLjQgFx3cZLEhGv&#10;09j9gadnEQc4jXZmNPsV65Pv1YHG2AW2MJsaUMR1cB03Fl6eq6sMVEzIDvvAZOGTIqzL87MCcxeO&#10;/ESHTWqUjHDM0UKb0pBrHeuWPMZpGIglew+jxyTn2Gg34lHGfa/nxiy1x47lQ4sD3bVUf2z23kKs&#10;XmlXfU3qiXm7bgLNd/ePD2jt5cXM3IJKdEp/ZfjBF3QohWkb9uyi6i0sVlIUWd6AkjhbZQtQ219D&#10;l4X+z19+A1BLAwQUAAAACACHTuJASamK5uMBAACqAwAADgAAAGRycy9lMm9Eb2MueG1srVNLjhMx&#10;EN0jcQfLe9JJpERDK51ZJBo2A0Sa4QAVtzttYbss20knl+ACSOxgxZI9t2HmGJTdSZjPZhb0wrLr&#10;86req+rZ5d5otpM+KLQVHw2GnEkrsFZ2U/FPt1dvLjgLEWwNGq2s+EEGfjl//WrWuVKOsUVdS88I&#10;xIaycxVvY3RlUQTRSgNhgE5acjboDUR6+k1Re+gI3ehiPBxOiw597TwKGQJZl72THxH9SwCxaZSQ&#10;SxRbI23sUb3UEIlSaJULfJ67bRop4semCTIyXXFiGvNJRei+Tmcxn0G58eBaJY4twEtaeMLJgLJU&#10;9Ay1hAhs69UzKKOEx4BNHAg0RU8kK0IsRsMn2ty04GTmQlIHdxY9/D9Y8WG38kzVFR9zZsHQwO++&#10;/vrz5fv972903v38wcZJpM6FkmIXduUTTbG3N+4axefALC5asBuZm709OEIYpYziUUp6BEel1t17&#10;rCkGthGzYvvGmwRJWrB9HszhPBi5j0yQcTKdXpA8nImTr4DylOh8iO8kGpYuFdfKJs2ghN11iKkR&#10;KE8hyWzxSmmd564t6yr+djKe5ISAWtXJmcKC36wX2rMdpM3JX2ZFnodhHre27otoeySdePaKrbE+&#10;rPxJDBph7ua4bmlHHr5z9r9fbP4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qTQAtUAAAAHAQAA&#10;DwAAAAAAAAABACAAAAAiAAAAZHJzL2Rvd25yZXYueG1sUEsBAhQAFAAAAAgAh07iQEmpiubjAQAA&#10;qgMAAA4AAAAAAAAAAQAgAAAAJAEAAGRycy9lMm9Eb2MueG1sUEsFBgAAAAAGAAYAWQEAAHkFAAAA&#10;AA==&#10;">
                <v:fill on="f" focussize="0,0"/>
                <v:stroke color="#000000" joinstyle="round"/>
                <v:imagedata o:title=""/>
                <o:lock v:ext="edit" aspectratio="f"/>
              </v:line>
            </w:pict>
          </mc:Fallback>
        </mc:AlternateContent>
      </w:r>
      <w:r>
        <w:rPr>
          <w:rFonts w:ascii="Times New Roman" w:hAnsi="Times New Roman" w:eastAsia="方正仿宋_GBK"/>
          <w:sz w:val="28"/>
          <w:szCs w:val="28"/>
          <w:u w:val="single"/>
        </w:rPr>
        <mc:AlternateContent>
          <mc:Choice Requires="wps">
            <w:drawing>
              <wp:anchor distT="0" distB="0" distL="114300" distR="114300" simplePos="0" relativeHeight="251660288" behindDoc="0" locked="0" layoutInCell="1" allowOverlap="1">
                <wp:simplePos x="0" y="0"/>
                <wp:positionH relativeFrom="column">
                  <wp:posOffset>37465</wp:posOffset>
                </wp:positionH>
                <wp:positionV relativeFrom="paragraph">
                  <wp:posOffset>22860</wp:posOffset>
                </wp:positionV>
                <wp:extent cx="566801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6801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5pt;margin-top:1.8pt;height:0pt;width:446.3pt;z-index:251660288;mso-width-relative:page;mso-height-relative:page;" filled="f" stroked="t" coordsize="21600,21600" o:gfxdata="UEsDBAoAAAAAAIdO4kAAAAAAAAAAAAAAAAAEAAAAZHJzL1BLAwQUAAAACACHTuJAoe1CldMAAAAF&#10;AQAADwAAAGRycy9kb3ducmV2LnhtbE2OTU/DMBBE70j8B2uRuFTUbqtWaYjTA5AbFwqI6zZekoh4&#10;ncbuB/x6Fi5wHM3ozSs2Z9+rI42xC2xhNjWgiOvgOm4svDxXNxmomJAd9oHJwidF2JSXFwXmLpz4&#10;iY7b1CiBcMzRQpvSkGsd65Y8xmkYiKV7D6PHJHFstBvxJHDf67kxK+2xY3locaC7luqP7cFbiNUr&#10;7auvST0xb4sm0Hx///iA1l5fzcwtqETn9DeGH31Rh1KcduHALqrewnItQwuLFShps3W2BLX7zbos&#10;9H/78htQSwMEFAAAAAgAh07iQJ0iiULiAQAAqgMAAA4AAABkcnMvZTJvRG9jLnhtbK1TS44TMRDd&#10;I3EHy3vSSaREQyudWSQaNgNEmuEAjtudtrBdlstJJ5fgAkjsYMWSPbdh5hiU3UmYz2YW9MJy/Z7r&#10;vaqeXe6tYTsVUIOr+Ggw5Ew5CbV2m4p/ur16c8EZRuFqYcCpih8U8sv561ezzpdqDC2YWgVGIA7L&#10;zle8jdGXRYGyVVbgALxyFGwgWBHJDJuiDqIjdGuK8XA4LToItQ8gFSJ5l32QHxHDSwChabRUS5Bb&#10;q1zsUYMyIhIlbLVHPs/dNo2S8WPToIrMVJyYxnzSI3Rfp7OYz0S5CcK3Wh5bEC9p4QknK7SjR89Q&#10;SxEF2wb9DMpqGQChiQMJtuiJZEWIxWj4RJubVniVuZDU6M+i4/+DlR92q8B0TZvAmROWBn739def&#10;L9/vf3+j8+7nDzZKInUeS8pduFVINOXe3fhrkJ+ROVi0wm1Ubvb24AkhVxSPSpKBnp5ad++hphyx&#10;jZAV2zfBJkjSgu3zYA7nwah9ZJKck+n0guThTJ5ihShPhT5gfKfAsnSpuNEuaSZKsbvGSK1T6ikl&#10;uR1caWPy3I1jXcXfTsaTXIBgdJ2CKQ3DZr0wge1E2pz8JR0I7FFagK2re79xFD7x7BVbQ31YhRRO&#10;fhphBjiuW9qRh3bO+veLzf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e1CldMAAAAFAQAADwAA&#10;AAAAAAABACAAAAAiAAAAZHJzL2Rvd25yZXYueG1sUEsBAhQAFAAAAAgAh07iQJ0iiULiAQAAqgMA&#10;AA4AAAAAAAAAAQAgAAAAIgEAAGRycy9lMm9Eb2MueG1sUEsFBgAAAAAGAAYAWQEAAHYFAAAAAA==&#10;">
                <v:fill on="f" focussize="0,0"/>
                <v:stroke color="#000000" joinstyle="round"/>
                <v:imagedata o:title=""/>
                <o:lock v:ext="edit" aspectratio="f"/>
              </v:line>
            </w:pict>
          </mc:Fallback>
        </mc:AlternateContent>
      </w:r>
      <w:r>
        <w:rPr>
          <w:rFonts w:ascii="Times New Roman" w:hAnsi="Times New Roman" w:eastAsia="方正仿宋_GBK"/>
          <w:sz w:val="28"/>
          <w:szCs w:val="28"/>
        </w:rPr>
        <w:t xml:space="preserve">玉溪市财政局办公室          </w:t>
      </w:r>
      <w:r>
        <w:rPr>
          <w:rFonts w:hint="eastAsia"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2025</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7</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31</w:t>
      </w:r>
      <w:r>
        <w:rPr>
          <w:rFonts w:ascii="Times New Roman" w:hAnsi="Times New Roman" w:eastAsia="方正仿宋_GBK"/>
          <w:sz w:val="28"/>
          <w:szCs w:val="28"/>
        </w:rPr>
        <w:t>日印发</w:t>
      </w:r>
    </w:p>
    <w:sectPr>
      <w:pgSz w:w="11906" w:h="16838"/>
      <w:pgMar w:top="2041" w:right="1474" w:bottom="1304" w:left="1587" w:header="851" w:footer="992" w:gutter="0"/>
      <w:pgNumType w:fmt="decimal"/>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59BDB">
    <w:pPr>
      <w:pStyle w:val="3"/>
      <w:wordWrap w:val="0"/>
      <w:ind w:right="72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CA7C23">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FCA7C23">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87683">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ABB5E">
    <w:pPr>
      <w:pStyle w:val="3"/>
      <w:wordWrap w:val="0"/>
      <w:ind w:right="720"/>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94B65"/>
    <w:rsid w:val="00BC7F21"/>
    <w:rsid w:val="073A569E"/>
    <w:rsid w:val="07617700"/>
    <w:rsid w:val="0E354C55"/>
    <w:rsid w:val="12F212F8"/>
    <w:rsid w:val="19A51869"/>
    <w:rsid w:val="1E2C025A"/>
    <w:rsid w:val="210E6BDC"/>
    <w:rsid w:val="25C22E7E"/>
    <w:rsid w:val="28DB3D71"/>
    <w:rsid w:val="2CF94B65"/>
    <w:rsid w:val="30386EDE"/>
    <w:rsid w:val="334B24A4"/>
    <w:rsid w:val="39C848AB"/>
    <w:rsid w:val="3B117386"/>
    <w:rsid w:val="3E51789B"/>
    <w:rsid w:val="41DA27A4"/>
    <w:rsid w:val="451B002F"/>
    <w:rsid w:val="4B2917A4"/>
    <w:rsid w:val="4CF4735A"/>
    <w:rsid w:val="50707B65"/>
    <w:rsid w:val="5CF12DC3"/>
    <w:rsid w:val="605447CB"/>
    <w:rsid w:val="61D5033C"/>
    <w:rsid w:val="641E1B8C"/>
    <w:rsid w:val="678E2F1A"/>
    <w:rsid w:val="6C2311A2"/>
    <w:rsid w:val="726A26A2"/>
    <w:rsid w:val="780B046F"/>
    <w:rsid w:val="7AF44722"/>
    <w:rsid w:val="7B076CD2"/>
    <w:rsid w:val="7E884360"/>
    <w:rsid w:val="7F4821C7"/>
    <w:rsid w:val="EC300B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heme="minorHAnsi" w:hAnsiTheme="minorHAnsi" w:eastAsiaTheme="minorEastAsia" w:cstheme="minorBidi"/>
      <w:sz w:val="18"/>
      <w:szCs w:val="18"/>
    </w:rPr>
  </w:style>
  <w:style w:type="character" w:customStyle="1" w:styleId="9">
    <w:name w:val="页脚 Char"/>
    <w:basedOn w:val="7"/>
    <w:link w:val="3"/>
    <w:qFormat/>
    <w:uiPriority w:val="99"/>
    <w:rPr>
      <w:rFonts w:asciiTheme="minorHAnsi" w:hAnsiTheme="minorHAnsi" w:eastAsiaTheme="minorEastAsia" w:cstheme="minorBidi"/>
      <w:sz w:val="18"/>
      <w:szCs w:val="18"/>
    </w:rPr>
  </w:style>
  <w:style w:type="character" w:customStyle="1" w:styleId="10">
    <w:name w:val="font21"/>
    <w:basedOn w:val="7"/>
    <w:qFormat/>
    <w:uiPriority w:val="0"/>
    <w:rPr>
      <w:rFonts w:hint="eastAsia" w:ascii="宋体" w:hAnsi="宋体" w:eastAsia="宋体" w:cs="宋体"/>
      <w:color w:val="000000"/>
      <w:sz w:val="20"/>
      <w:szCs w:val="20"/>
      <w:u w:val="none"/>
    </w:rPr>
  </w:style>
  <w:style w:type="character" w:customStyle="1" w:styleId="11">
    <w:name w:val="font01"/>
    <w:basedOn w:val="7"/>
    <w:qFormat/>
    <w:uiPriority w:val="0"/>
    <w:rPr>
      <w:rFonts w:hint="eastAsia" w:ascii="宋体" w:hAnsi="宋体" w:eastAsia="宋体" w:cs="宋体"/>
      <w:color w:val="000000"/>
      <w:sz w:val="20"/>
      <w:szCs w:val="20"/>
      <w:u w:val="none"/>
    </w:rPr>
  </w:style>
  <w:style w:type="character" w:customStyle="1" w:styleId="12">
    <w:name w:val="font11"/>
    <w:basedOn w:val="7"/>
    <w:qFormat/>
    <w:uiPriority w:val="0"/>
    <w:rPr>
      <w:rFonts w:hint="default" w:ascii="Arial" w:hAnsi="Arial" w:cs="Arial"/>
      <w:color w:val="000000"/>
      <w:sz w:val="20"/>
      <w:szCs w:val="20"/>
      <w:u w:val="none"/>
    </w:rPr>
  </w:style>
  <w:style w:type="character" w:customStyle="1" w:styleId="13">
    <w:name w:val="font71"/>
    <w:basedOn w:val="7"/>
    <w:qFormat/>
    <w:uiPriority w:val="0"/>
    <w:rPr>
      <w:rFonts w:hint="eastAsia" w:ascii="宋体" w:hAnsi="宋体" w:eastAsia="宋体" w:cs="宋体"/>
      <w:b/>
      <w:bCs/>
      <w:color w:val="000000"/>
      <w:sz w:val="28"/>
      <w:szCs w:val="28"/>
      <w:u w:val="none"/>
    </w:rPr>
  </w:style>
  <w:style w:type="character" w:customStyle="1" w:styleId="14">
    <w:name w:val="font81"/>
    <w:basedOn w:val="7"/>
    <w:qFormat/>
    <w:uiPriority w:val="0"/>
    <w:rPr>
      <w:rFonts w:ascii="方正仿宋_GBK" w:hAnsi="方正仿宋_GBK" w:eastAsia="方正仿宋_GBK" w:cs="方正仿宋_GBK"/>
      <w:color w:val="000000"/>
      <w:sz w:val="18"/>
      <w:szCs w:val="18"/>
      <w:u w:val="none"/>
    </w:rPr>
  </w:style>
  <w:style w:type="character" w:customStyle="1" w:styleId="15">
    <w:name w:val="font91"/>
    <w:basedOn w:val="7"/>
    <w:qFormat/>
    <w:uiPriority w:val="0"/>
    <w:rPr>
      <w:rFonts w:hint="eastAsia" w:ascii="方正仿宋_GBK" w:hAnsi="方正仿宋_GBK" w:eastAsia="方正仿宋_GBK" w:cs="方正仿宋_GBK"/>
      <w:b/>
      <w:bCs/>
      <w:color w:val="000000"/>
      <w:sz w:val="18"/>
      <w:szCs w:val="18"/>
      <w:u w:val="none"/>
    </w:rPr>
  </w:style>
  <w:style w:type="character" w:customStyle="1" w:styleId="16">
    <w:name w:val="font112"/>
    <w:basedOn w:val="7"/>
    <w:qFormat/>
    <w:uiPriority w:val="0"/>
    <w:rPr>
      <w:rFonts w:hint="eastAsia" w:ascii="方正仿宋_GBK" w:hAnsi="方正仿宋_GBK" w:eastAsia="方正仿宋_GBK" w:cs="方正仿宋_GBK"/>
      <w:color w:val="000000"/>
      <w:sz w:val="20"/>
      <w:szCs w:val="20"/>
      <w:u w:val="none"/>
    </w:rPr>
  </w:style>
  <w:style w:type="character" w:customStyle="1" w:styleId="17">
    <w:name w:val="font51"/>
    <w:basedOn w:val="7"/>
    <w:qFormat/>
    <w:uiPriority w:val="0"/>
    <w:rPr>
      <w:rFonts w:hint="default" w:ascii="Times New Roman" w:hAnsi="Times New Roman" w:cs="Times New Roman"/>
      <w:color w:val="000000"/>
      <w:sz w:val="20"/>
      <w:szCs w:val="20"/>
      <w:u w:val="none"/>
    </w:rPr>
  </w:style>
  <w:style w:type="character" w:customStyle="1" w:styleId="18">
    <w:name w:val="font101"/>
    <w:basedOn w:val="7"/>
    <w:qFormat/>
    <w:uiPriority w:val="0"/>
    <w:rPr>
      <w:rFonts w:hint="eastAsia" w:ascii="方正仿宋_GBK" w:hAnsi="方正仿宋_GBK" w:eastAsia="方正仿宋_GBK" w:cs="方正仿宋_GBK"/>
      <w:color w:val="000000"/>
      <w:sz w:val="20"/>
      <w:szCs w:val="20"/>
      <w:u w:val="none"/>
    </w:rPr>
  </w:style>
  <w:style w:type="character" w:customStyle="1" w:styleId="19">
    <w:name w:val="font121"/>
    <w:basedOn w:val="7"/>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6</Pages>
  <Words>53</Words>
  <Characters>305</Characters>
  <Lines>2</Lines>
  <Paragraphs>1</Paragraphs>
  <TotalTime>6</TotalTime>
  <ScaleCrop>false</ScaleCrop>
  <LinksUpToDate>false</LinksUpToDate>
  <CharactersWithSpaces>357</CharactersWithSpaces>
  <Application>WPS Office_12.8.2.1117_F1E327BC-269C-435d-A152-05C5408002CA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2018-09-06T09:32:00Z</dcterms:created>
  <dc:creator>市财政局</dc:creator>
  <cp:lastModifiedBy>user</cp:lastModifiedBy>
  <dcterms:modified xsi:type="dcterms:W3CDTF">2025-11-03T16:28:22Z</dcterms:modified>
  <dc:title>玉溪市财政局文件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2052-12.8.2.1117</vt:lpwstr>
  </property>
  <property fmtid="{D5CDD505-2E9C-101B-9397-08002B2CF9AE}" pid="3" name="docranid">
    <vt:lpwstr>457DDD9DFF5447448CF2D47B17CDF9FC</vt:lpwstr>
  </property>
  <property fmtid="{D5CDD505-2E9C-101B-9397-08002B2CF9AE}" pid="4" name="ICV">
    <vt:lpwstr>9BA28A9F54CD465B956EACDBCF1D5CBD</vt:lpwstr>
  </property>
</Properties>
</file>